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84AE2">
      <w:pPr>
        <w:ind w:right="-168" w:rightChars="-80"/>
        <w:jc w:val="left"/>
        <w:rPr>
          <w:rFonts w:ascii="Times New Roman" w:hAnsi="Times New Roman" w:eastAsia="SimHei" w:cs="Times New Roman"/>
          <w:kern w:val="2"/>
          <w:sz w:val="28"/>
          <w:szCs w:val="28"/>
          <w:lang w:val="en-US" w:eastAsia="zh-CN" w:bidi="ar-SA"/>
        </w:rPr>
      </w:pPr>
      <w:bookmarkStart w:id="0" w:name="_Toc15247"/>
    </w:p>
    <w:p w14:paraId="232F2FA0">
      <w:pPr>
        <w:ind w:right="-168" w:rightChars="-80"/>
        <w:jc w:val="left"/>
        <w:rPr>
          <w:rFonts w:ascii="Times New Roman" w:hAnsi="Times New Roman" w:eastAsia="SimHei" w:cs="Times New Roman"/>
          <w:kern w:val="2"/>
          <w:sz w:val="28"/>
          <w:szCs w:val="28"/>
          <w:lang w:val="en-US" w:eastAsia="zh-CN" w:bidi="ar-SA"/>
        </w:rPr>
      </w:pPr>
    </w:p>
    <w:p w14:paraId="5E67B511">
      <w:pPr>
        <w:ind w:right="-168" w:rightChars="-80"/>
        <w:jc w:val="left"/>
        <w:rPr>
          <w:rFonts w:ascii="Times New Roman" w:hAnsi="Times New Roman" w:eastAsia="SimHei" w:cs="Times New Roman"/>
          <w:kern w:val="2"/>
          <w:sz w:val="28"/>
          <w:szCs w:val="28"/>
          <w:lang w:val="en-US" w:eastAsia="zh-CN" w:bidi="ar-SA"/>
        </w:rPr>
      </w:pPr>
    </w:p>
    <w:p w14:paraId="1BAE7E23">
      <w:pPr>
        <w:ind w:right="-168" w:rightChars="-80"/>
        <w:jc w:val="left"/>
        <w:rPr>
          <w:rFonts w:ascii="Times New Roman" w:hAnsi="Times New Roman" w:eastAsia="SimHei" w:cs="Times New Roman"/>
          <w:i w:val="0"/>
          <w:iCs w:val="0"/>
          <w:kern w:val="2"/>
          <w:sz w:val="28"/>
          <w:szCs w:val="28"/>
          <w:lang w:val="en-US" w:eastAsia="zh-CN" w:bidi="ar-SA"/>
        </w:rPr>
      </w:pPr>
    </w:p>
    <w:p w14:paraId="6D2B0F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SimHei" w:cs="Times New Roman"/>
          <w:i w:val="0"/>
          <w:iCs w:val="0"/>
          <w:kern w:val="2"/>
          <w:sz w:val="56"/>
          <w:lang w:val="en-US" w:eastAsia="zh-CN" w:bidi="ar-SA"/>
        </w:rPr>
      </w:pPr>
      <w:r>
        <w:rPr>
          <w:rFonts w:ascii="Times New Roman" w:hAnsi="Times New Roman" w:eastAsia="SimHei" w:cs="Times New Roman"/>
          <w:i w:val="0"/>
          <w:iCs w:val="0"/>
          <w:kern w:val="2"/>
          <w:sz w:val="56"/>
          <w:lang w:val="en-US" w:eastAsia="zh-CN" w:bidi="ar-SA"/>
        </w:rPr>
        <w:t>学位授权点质量</w:t>
      </w:r>
      <w:r>
        <w:rPr>
          <w:rFonts w:hint="eastAsia" w:ascii="Times New Roman" w:hAnsi="Times New Roman" w:eastAsia="SimHei" w:cs="Times New Roman"/>
          <w:i w:val="0"/>
          <w:iCs w:val="0"/>
          <w:kern w:val="2"/>
          <w:sz w:val="56"/>
          <w:lang w:val="en-US" w:eastAsia="zh-CN" w:bidi="ar-SA"/>
        </w:rPr>
        <w:t>建设</w:t>
      </w:r>
      <w:r>
        <w:rPr>
          <w:rFonts w:ascii="Times New Roman" w:hAnsi="Times New Roman" w:eastAsia="SimHei" w:cs="Times New Roman"/>
          <w:i w:val="0"/>
          <w:iCs w:val="0"/>
          <w:kern w:val="2"/>
          <w:sz w:val="56"/>
          <w:lang w:val="en-US" w:eastAsia="zh-CN" w:bidi="ar-SA"/>
        </w:rPr>
        <w:t>年度报告</w:t>
      </w:r>
    </w:p>
    <w:p w14:paraId="4D32E1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eastAsiaTheme="minorEastAsia"/>
          <w:i w:val="0"/>
          <w:iCs w:val="0"/>
          <w:kern w:val="2"/>
          <w:sz w:val="32"/>
          <w:szCs w:val="32"/>
          <w:lang w:val="en-US" w:eastAsia="zh-CN" w:bidi="ar-SA"/>
        </w:rPr>
      </w:pPr>
      <w:r>
        <w:rPr>
          <w:rFonts w:hint="eastAsia" w:ascii="Times New Roman" w:hAnsi="Times New Roman" w:cs="Times New Roman" w:eastAsiaTheme="minorEastAsia"/>
          <w:i w:val="0"/>
          <w:iCs w:val="0"/>
          <w:kern w:val="2"/>
          <w:sz w:val="32"/>
          <w:szCs w:val="32"/>
          <w:lang w:val="en-US" w:eastAsia="zh-CN" w:bidi="ar-SA"/>
        </w:rPr>
        <w:t>（202</w:t>
      </w:r>
      <w:r>
        <w:rPr>
          <w:rFonts w:hint="eastAsia" w:cs="Times New Roman" w:eastAsiaTheme="minorEastAsia"/>
          <w:i w:val="0"/>
          <w:iCs w:val="0"/>
          <w:kern w:val="2"/>
          <w:sz w:val="32"/>
          <w:szCs w:val="32"/>
          <w:lang w:val="en-US" w:eastAsia="zh-CN" w:bidi="ar-SA"/>
        </w:rPr>
        <w:t>2</w:t>
      </w:r>
      <w:r>
        <w:rPr>
          <w:rFonts w:hint="eastAsia" w:ascii="Times New Roman" w:hAnsi="Times New Roman" w:cs="Times New Roman" w:eastAsiaTheme="minorEastAsia"/>
          <w:i w:val="0"/>
          <w:iCs w:val="0"/>
          <w:kern w:val="2"/>
          <w:sz w:val="32"/>
          <w:szCs w:val="32"/>
          <w:lang w:val="en-US" w:eastAsia="zh-CN" w:bidi="ar-SA"/>
        </w:rPr>
        <w:t>年度）</w:t>
      </w:r>
    </w:p>
    <w:p w14:paraId="3081D528">
      <w:pPr>
        <w:rPr>
          <w:rFonts w:ascii="Times New Roman" w:hAnsi="Times New Roman" w:cs="Times New Roman" w:eastAsiaTheme="minorEastAsia"/>
          <w:i w:val="0"/>
          <w:iCs w:val="0"/>
          <w:kern w:val="2"/>
          <w:sz w:val="24"/>
          <w:lang w:val="en-US" w:eastAsia="zh-CN" w:bidi="ar-SA"/>
        </w:rPr>
      </w:pPr>
    </w:p>
    <w:p w14:paraId="0474541B">
      <w:pPr>
        <w:rPr>
          <w:rFonts w:ascii="Times New Roman" w:hAnsi="Times New Roman" w:cs="Times New Roman" w:eastAsiaTheme="minorEastAsia"/>
          <w:i w:val="0"/>
          <w:iCs w:val="0"/>
          <w:kern w:val="2"/>
          <w:sz w:val="24"/>
          <w:lang w:val="en-US" w:eastAsia="zh-CN" w:bidi="ar-SA"/>
        </w:rPr>
      </w:pPr>
    </w:p>
    <w:p w14:paraId="48C25703">
      <w:pPr>
        <w:rPr>
          <w:rFonts w:ascii="Times New Roman" w:hAnsi="Times New Roman" w:cs="Times New Roman" w:eastAsiaTheme="minorEastAsia"/>
          <w:i w:val="0"/>
          <w:iCs w:val="0"/>
          <w:kern w:val="2"/>
          <w:sz w:val="24"/>
          <w:lang w:val="en-US" w:eastAsia="zh-CN" w:bidi="ar-SA"/>
        </w:rPr>
      </w:pPr>
    </w:p>
    <w:p w14:paraId="2BA529B5">
      <w:pPr>
        <w:rPr>
          <w:rFonts w:ascii="Times New Roman" w:hAnsi="Times New Roman" w:cs="Times New Roman" w:eastAsiaTheme="minorEastAsia"/>
          <w:i w:val="0"/>
          <w:iCs w:val="0"/>
          <w:kern w:val="2"/>
          <w:sz w:val="24"/>
          <w:lang w:val="en-US" w:eastAsia="zh-CN" w:bidi="ar-SA"/>
        </w:rPr>
      </w:pPr>
    </w:p>
    <w:p w14:paraId="507B69A1">
      <w:pPr>
        <w:rPr>
          <w:rFonts w:ascii="Times New Roman" w:hAnsi="Times New Roman" w:cs="Times New Roman" w:eastAsiaTheme="minorEastAsia"/>
          <w:i w:val="0"/>
          <w:iCs w:val="0"/>
          <w:kern w:val="2"/>
          <w:sz w:val="24"/>
          <w:lang w:val="en-US" w:eastAsia="zh-CN" w:bidi="ar-SA"/>
        </w:rPr>
      </w:pPr>
    </w:p>
    <w:tbl>
      <w:tblPr>
        <w:tblStyle w:val="6"/>
        <w:tblW w:w="6516" w:type="dxa"/>
        <w:jc w:val="center"/>
        <w:tblLayout w:type="fixed"/>
        <w:tblCellMar>
          <w:top w:w="0" w:type="dxa"/>
          <w:left w:w="28" w:type="dxa"/>
          <w:bottom w:w="0" w:type="dxa"/>
          <w:right w:w="28" w:type="dxa"/>
        </w:tblCellMar>
      </w:tblPr>
      <w:tblGrid>
        <w:gridCol w:w="2115"/>
        <w:gridCol w:w="4401"/>
      </w:tblGrid>
      <w:tr w14:paraId="68160BFE">
        <w:tblPrEx>
          <w:tblCellMar>
            <w:top w:w="0" w:type="dxa"/>
            <w:left w:w="28" w:type="dxa"/>
            <w:bottom w:w="0" w:type="dxa"/>
            <w:right w:w="28" w:type="dxa"/>
          </w:tblCellMar>
        </w:tblPrEx>
        <w:trPr>
          <w:jc w:val="center"/>
        </w:trPr>
        <w:tc>
          <w:tcPr>
            <w:tcW w:w="2115" w:type="dxa"/>
            <w:vMerge w:val="restart"/>
            <w:tcBorders>
              <w:right w:val="single" w:color="auto" w:sz="4" w:space="0"/>
            </w:tcBorders>
            <w:vAlign w:val="center"/>
          </w:tcPr>
          <w:p w14:paraId="470BBBD8">
            <w:pPr>
              <w:spacing w:line="400" w:lineRule="exact"/>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学位授予单位</w:t>
            </w:r>
          </w:p>
        </w:tc>
        <w:tc>
          <w:tcPr>
            <w:tcW w:w="4401" w:type="dxa"/>
            <w:tcBorders>
              <w:left w:val="single" w:color="auto" w:sz="4" w:space="0"/>
            </w:tcBorders>
          </w:tcPr>
          <w:p w14:paraId="32493324">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名称:中南林业科技大学</w:t>
            </w:r>
          </w:p>
        </w:tc>
      </w:tr>
      <w:tr w14:paraId="7519611B">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477C961B">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0833AA2B">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38FCA113">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5C835C68">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1EBCAF41">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代码:10538</w:t>
            </w:r>
          </w:p>
        </w:tc>
      </w:tr>
    </w:tbl>
    <w:p w14:paraId="5B60BAAE">
      <w:pPr>
        <w:rPr>
          <w:rFonts w:ascii="Times New Roman" w:hAnsi="Times New Roman" w:eastAsia="仿宋_GB2312" w:cs="Times New Roman"/>
          <w:b/>
          <w:i w:val="0"/>
          <w:iCs w:val="0"/>
          <w:kern w:val="2"/>
          <w:sz w:val="28"/>
          <w:lang w:val="en-US" w:eastAsia="zh-CN" w:bidi="ar-SA"/>
        </w:rPr>
      </w:pPr>
    </w:p>
    <w:p w14:paraId="2D0E717F">
      <w:pPr>
        <w:rPr>
          <w:rFonts w:ascii="Times New Roman" w:hAnsi="Times New Roman" w:eastAsia="仿宋_GB2312" w:cs="Times New Roman"/>
          <w:b/>
          <w:i w:val="0"/>
          <w:iCs w:val="0"/>
          <w:kern w:val="2"/>
          <w:sz w:val="28"/>
          <w:lang w:val="en-US" w:eastAsia="zh-CN" w:bidi="ar-SA"/>
        </w:rPr>
      </w:pPr>
    </w:p>
    <w:p w14:paraId="63DDBC25">
      <w:pPr>
        <w:rPr>
          <w:rFonts w:ascii="Times New Roman" w:hAnsi="Times New Roman" w:eastAsia="仿宋_GB2312" w:cs="Times New Roman"/>
          <w:b/>
          <w:i w:val="0"/>
          <w:iCs w:val="0"/>
          <w:kern w:val="2"/>
          <w:sz w:val="28"/>
          <w:lang w:val="en-US" w:eastAsia="zh-CN" w:bidi="ar-SA"/>
        </w:rPr>
      </w:pPr>
    </w:p>
    <w:p w14:paraId="39F862EF">
      <w:pPr>
        <w:rPr>
          <w:rFonts w:ascii="Times New Roman" w:hAnsi="Times New Roman" w:eastAsia="仿宋_GB2312" w:cs="Times New Roman"/>
          <w:i w:val="0"/>
          <w:iCs w:val="0"/>
          <w:kern w:val="2"/>
          <w:sz w:val="24"/>
          <w:u w:val="thick"/>
          <w:lang w:val="en-US" w:eastAsia="zh-CN" w:bidi="ar-SA"/>
        </w:rPr>
      </w:pPr>
    </w:p>
    <w:tbl>
      <w:tblPr>
        <w:tblStyle w:val="6"/>
        <w:tblW w:w="6516" w:type="dxa"/>
        <w:jc w:val="center"/>
        <w:tblLayout w:type="fixed"/>
        <w:tblCellMar>
          <w:top w:w="0" w:type="dxa"/>
          <w:left w:w="28" w:type="dxa"/>
          <w:bottom w:w="0" w:type="dxa"/>
          <w:right w:w="28" w:type="dxa"/>
        </w:tblCellMar>
      </w:tblPr>
      <w:tblGrid>
        <w:gridCol w:w="2122"/>
        <w:gridCol w:w="4394"/>
      </w:tblGrid>
      <w:tr w14:paraId="07125619">
        <w:tblPrEx>
          <w:tblCellMar>
            <w:top w:w="0" w:type="dxa"/>
            <w:left w:w="28" w:type="dxa"/>
            <w:bottom w:w="0" w:type="dxa"/>
            <w:right w:w="28" w:type="dxa"/>
          </w:tblCellMar>
        </w:tblPrEx>
        <w:trPr>
          <w:jc w:val="center"/>
        </w:trPr>
        <w:tc>
          <w:tcPr>
            <w:tcW w:w="2122" w:type="dxa"/>
            <w:vMerge w:val="restart"/>
            <w:tcBorders>
              <w:right w:val="single" w:color="auto" w:sz="4" w:space="0"/>
            </w:tcBorders>
            <w:vAlign w:val="center"/>
          </w:tcPr>
          <w:p w14:paraId="7F948130">
            <w:pPr>
              <w:spacing w:line="400" w:lineRule="exact"/>
              <w:ind w:right="252" w:rightChars="120" w:firstLine="138" w:firstLineChars="49"/>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学位授权点</w:t>
            </w:r>
          </w:p>
        </w:tc>
        <w:tc>
          <w:tcPr>
            <w:tcW w:w="4394" w:type="dxa"/>
            <w:tcBorders>
              <w:left w:val="single" w:color="auto" w:sz="4" w:space="0"/>
            </w:tcBorders>
          </w:tcPr>
          <w:p w14:paraId="0AC96453">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w:t>
            </w:r>
            <w:r>
              <w:rPr>
                <w:rFonts w:hint="eastAsia" w:ascii="Times New Roman" w:hAnsi="Times New Roman" w:eastAsia="仿宋_GB2312" w:cs="Times New Roman"/>
                <w:b/>
                <w:i w:val="0"/>
                <w:iCs w:val="0"/>
                <w:kern w:val="2"/>
                <w:sz w:val="28"/>
                <w:lang w:val="en-US" w:eastAsia="zh-CN" w:bidi="ar-SA"/>
              </w:rPr>
              <w:t xml:space="preserve"> 法学</w:t>
            </w:r>
          </w:p>
        </w:tc>
      </w:tr>
      <w:tr w14:paraId="0CC9A3E4">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7A7FBF7C">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43588178">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43F3A14A">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3D76E9C2">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5806EDCD">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w:t>
            </w:r>
            <w:r>
              <w:rPr>
                <w:rFonts w:hint="eastAsia" w:ascii="Times New Roman" w:hAnsi="Times New Roman" w:eastAsia="仿宋_GB2312" w:cs="Times New Roman"/>
                <w:b/>
                <w:i w:val="0"/>
                <w:iCs w:val="0"/>
                <w:kern w:val="2"/>
                <w:sz w:val="28"/>
                <w:lang w:val="en-US" w:eastAsia="zh-CN" w:bidi="ar-SA"/>
              </w:rPr>
              <w:t xml:space="preserve"> 0301</w:t>
            </w:r>
          </w:p>
        </w:tc>
      </w:tr>
    </w:tbl>
    <w:p w14:paraId="05AC36EB">
      <w:pPr>
        <w:widowControl/>
        <w:jc w:val="left"/>
        <w:rPr>
          <w:rFonts w:ascii="Times New Roman" w:hAnsi="Times New Roman" w:cs="Times New Roman" w:eastAsiaTheme="minorEastAsia"/>
          <w:i w:val="0"/>
          <w:iCs w:val="0"/>
          <w:kern w:val="2"/>
          <w:sz w:val="20"/>
          <w:lang w:val="en-US" w:eastAsia="zh-CN" w:bidi="ar-SA"/>
        </w:rPr>
      </w:pPr>
    </w:p>
    <w:p w14:paraId="72A3D4B7">
      <w:pPr>
        <w:widowControl/>
        <w:jc w:val="left"/>
        <w:rPr>
          <w:rFonts w:ascii="Times New Roman" w:hAnsi="Times New Roman" w:eastAsia="楷体_GB2312" w:cs="Times New Roman"/>
          <w:i w:val="0"/>
          <w:iCs w:val="0"/>
          <w:kern w:val="2"/>
          <w:sz w:val="32"/>
          <w:lang w:val="en-US" w:eastAsia="zh-CN" w:bidi="ar-SA"/>
        </w:rPr>
      </w:pPr>
    </w:p>
    <w:p w14:paraId="3B080924">
      <w:pPr>
        <w:widowControl/>
        <w:jc w:val="left"/>
        <w:rPr>
          <w:rFonts w:ascii="Times New Roman" w:hAnsi="Times New Roman" w:eastAsia="楷体_GB2312" w:cs="Times New Roman"/>
          <w:i w:val="0"/>
          <w:iCs w:val="0"/>
          <w:kern w:val="2"/>
          <w:sz w:val="32"/>
          <w:lang w:val="en-US" w:eastAsia="zh-CN" w:bidi="ar-SA"/>
        </w:rPr>
      </w:pPr>
    </w:p>
    <w:p w14:paraId="11DD49EA">
      <w:pPr>
        <w:widowControl/>
        <w:jc w:val="left"/>
        <w:rPr>
          <w:rFonts w:ascii="Times New Roman" w:hAnsi="Times New Roman" w:eastAsia="楷体_GB2312" w:cs="Times New Roman"/>
          <w:i w:val="0"/>
          <w:iCs w:val="0"/>
          <w:kern w:val="2"/>
          <w:sz w:val="32"/>
          <w:lang w:val="en-US" w:eastAsia="zh-CN" w:bidi="ar-SA"/>
        </w:rPr>
      </w:pPr>
    </w:p>
    <w:p w14:paraId="7E9DB9C8">
      <w:pPr>
        <w:widowControl/>
        <w:jc w:val="left"/>
        <w:rPr>
          <w:rFonts w:ascii="Times New Roman" w:hAnsi="Times New Roman" w:eastAsia="楷体_GB2312" w:cs="Times New Roman"/>
          <w:i w:val="0"/>
          <w:iCs w:val="0"/>
          <w:kern w:val="2"/>
          <w:sz w:val="32"/>
          <w:lang w:val="en-US" w:eastAsia="zh-CN" w:bidi="ar-SA"/>
        </w:rPr>
      </w:pPr>
    </w:p>
    <w:p w14:paraId="21F2041C">
      <w:pPr>
        <w:widowControl/>
        <w:jc w:val="left"/>
        <w:rPr>
          <w:rFonts w:ascii="Times New Roman" w:hAnsi="Times New Roman" w:eastAsia="楷体_GB2312" w:cs="Times New Roman"/>
          <w:i w:val="0"/>
          <w:iCs w:val="0"/>
          <w:kern w:val="2"/>
          <w:sz w:val="32"/>
          <w:lang w:val="en-US" w:eastAsia="zh-CN" w:bidi="ar-SA"/>
        </w:rPr>
      </w:pPr>
    </w:p>
    <w:p w14:paraId="2AB88B4F">
      <w:pPr>
        <w:widowControl/>
        <w:jc w:val="left"/>
        <w:rPr>
          <w:rFonts w:ascii="Times New Roman" w:hAnsi="Times New Roman" w:eastAsia="楷体_GB2312" w:cs="Times New Roman"/>
          <w:i w:val="0"/>
          <w:iCs w:val="0"/>
          <w:kern w:val="2"/>
          <w:sz w:val="32"/>
          <w:lang w:val="en-US" w:eastAsia="zh-CN" w:bidi="ar-SA"/>
        </w:rPr>
      </w:pPr>
    </w:p>
    <w:p w14:paraId="14DC60C1">
      <w:pPr>
        <w:widowControl/>
        <w:ind w:firstLine="2400" w:firstLineChars="750"/>
        <w:jc w:val="left"/>
        <w:rPr>
          <w:rFonts w:ascii="Times New Roman" w:hAnsi="Times New Roman" w:eastAsia="SimHei" w:cs="Times New Roman"/>
          <w:i w:val="0"/>
          <w:iCs w:val="0"/>
          <w:kern w:val="2"/>
          <w:sz w:val="36"/>
          <w:szCs w:val="36"/>
          <w:lang w:val="en-US" w:eastAsia="zh-CN" w:bidi="ar-SA"/>
        </w:rPr>
      </w:pPr>
      <w:r>
        <w:rPr>
          <w:rFonts w:ascii="Times New Roman" w:hAnsi="Times New Roman" w:eastAsia="楷体_GB2312" w:cs="Times New Roman"/>
          <w:i w:val="0"/>
          <w:iCs w:val="0"/>
          <w:kern w:val="2"/>
          <w:sz w:val="32"/>
          <w:lang w:val="en-US" w:eastAsia="zh-CN" w:bidi="ar-SA"/>
        </w:rPr>
        <w:t>202</w:t>
      </w:r>
      <w:r>
        <w:rPr>
          <w:rFonts w:hint="eastAsia" w:eastAsia="楷体_GB2312" w:cs="Times New Roman"/>
          <w:i w:val="0"/>
          <w:iCs w:val="0"/>
          <w:kern w:val="2"/>
          <w:sz w:val="32"/>
          <w:lang w:val="en-US" w:eastAsia="zh-CN" w:bidi="ar-SA"/>
        </w:rPr>
        <w:t>3</w:t>
      </w:r>
      <w:r>
        <w:rPr>
          <w:rFonts w:ascii="Times New Roman" w:hAnsi="Times New Roman" w:eastAsia="楷体_GB2312" w:cs="Times New Roman"/>
          <w:i w:val="0"/>
          <w:iCs w:val="0"/>
          <w:kern w:val="2"/>
          <w:sz w:val="32"/>
          <w:lang w:val="en-US" w:eastAsia="zh-CN" w:bidi="ar-SA"/>
        </w:rPr>
        <w:t>年</w:t>
      </w:r>
      <w:r>
        <w:rPr>
          <w:rFonts w:hint="eastAsia" w:ascii="Times New Roman" w:hAnsi="Times New Roman" w:eastAsia="楷体_GB2312" w:cs="Times New Roman"/>
          <w:i w:val="0"/>
          <w:iCs w:val="0"/>
          <w:kern w:val="2"/>
          <w:sz w:val="32"/>
          <w:lang w:val="en-US" w:eastAsia="zh-CN" w:bidi="ar-SA"/>
        </w:rPr>
        <w:t xml:space="preserve"> 3 </w:t>
      </w:r>
      <w:r>
        <w:rPr>
          <w:rFonts w:ascii="Times New Roman" w:hAnsi="Times New Roman" w:eastAsia="楷体_GB2312" w:cs="Times New Roman"/>
          <w:i w:val="0"/>
          <w:iCs w:val="0"/>
          <w:kern w:val="2"/>
          <w:sz w:val="32"/>
          <w:lang w:val="en-US" w:eastAsia="zh-CN" w:bidi="ar-SA"/>
        </w:rPr>
        <w:t>月</w:t>
      </w:r>
      <w:r>
        <w:rPr>
          <w:rFonts w:hint="eastAsia" w:ascii="Times New Roman" w:hAnsi="Times New Roman" w:eastAsia="楷体_GB2312" w:cs="Times New Roman"/>
          <w:i w:val="0"/>
          <w:iCs w:val="0"/>
          <w:kern w:val="2"/>
          <w:sz w:val="32"/>
          <w:lang w:val="en-US" w:eastAsia="zh-CN" w:bidi="ar-SA"/>
        </w:rPr>
        <w:t xml:space="preserve"> 8 </w:t>
      </w:r>
      <w:r>
        <w:rPr>
          <w:rFonts w:ascii="Times New Roman" w:hAnsi="Times New Roman" w:eastAsia="楷体_GB2312" w:cs="Times New Roman"/>
          <w:i w:val="0"/>
          <w:iCs w:val="0"/>
          <w:kern w:val="2"/>
          <w:sz w:val="32"/>
          <w:lang w:val="en-US" w:eastAsia="zh-CN" w:bidi="ar-SA"/>
        </w:rPr>
        <w:t>日填表</w:t>
      </w:r>
    </w:p>
    <w:p w14:paraId="0972F2FC">
      <w:pPr>
        <w:keepNext w:val="0"/>
        <w:keepLines w:val="0"/>
        <w:pageBreakBefore w:val="0"/>
        <w:widowControl/>
        <w:kinsoku/>
        <w:wordWrap/>
        <w:overflowPunct/>
        <w:topLinePunct w:val="0"/>
        <w:autoSpaceDE/>
        <w:autoSpaceDN/>
        <w:bidi w:val="0"/>
        <w:adjustRightInd w:val="0"/>
        <w:snapToGrid w:val="0"/>
        <w:spacing w:before="220" w:beforeLines="50" w:after="220" w:afterLines="50" w:line="360" w:lineRule="auto"/>
        <w:jc w:val="center"/>
        <w:textAlignment w:val="auto"/>
        <w:rPr>
          <w:rFonts w:hint="default" w:ascii="Times New Roman" w:hAnsi="Times New Roman" w:eastAsia="SimHei" w:cs="Times New Roman"/>
          <w:b w:val="0"/>
          <w:bCs w:val="0"/>
          <w:i w:val="0"/>
          <w:iCs w:val="0"/>
          <w:color w:val="auto"/>
          <w:kern w:val="0"/>
          <w:sz w:val="32"/>
          <w:szCs w:val="32"/>
          <w:lang w:val="en-US" w:eastAsia="zh-CN" w:bidi="ar-SA"/>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docGrid w:type="lines" w:linePitch="436" w:charSpace="0"/>
        </w:sectPr>
      </w:pPr>
    </w:p>
    <w:p w14:paraId="2518ABB7">
      <w:pPr>
        <w:keepNext w:val="0"/>
        <w:keepLines w:val="0"/>
        <w:pageBreakBefore w:val="0"/>
        <w:widowControl/>
        <w:kinsoku/>
        <w:wordWrap/>
        <w:overflowPunct/>
        <w:topLinePunct w:val="0"/>
        <w:autoSpaceDE/>
        <w:autoSpaceDN/>
        <w:bidi w:val="0"/>
        <w:adjustRightInd w:val="0"/>
        <w:snapToGrid w:val="0"/>
        <w:spacing w:before="220" w:beforeLines="50" w:after="220" w:afterLines="50" w:line="360" w:lineRule="auto"/>
        <w:jc w:val="center"/>
        <w:textAlignment w:val="auto"/>
        <w:rPr>
          <w:rFonts w:hint="default" w:ascii="Times New Roman" w:hAnsi="Times New Roman" w:eastAsia="FangSong" w:cs="Times New Roman"/>
          <w:color w:val="auto"/>
          <w:sz w:val="32"/>
          <w:szCs w:val="32"/>
        </w:rPr>
      </w:pPr>
      <w:r>
        <w:rPr>
          <w:rFonts w:hint="default" w:ascii="Times New Roman" w:hAnsi="Times New Roman" w:eastAsia="SimHei" w:cs="Times New Roman"/>
          <w:b w:val="0"/>
          <w:bCs w:val="0"/>
          <w:i w:val="0"/>
          <w:iCs w:val="0"/>
          <w:color w:val="auto"/>
          <w:kern w:val="0"/>
          <w:sz w:val="32"/>
          <w:szCs w:val="32"/>
          <w:lang w:val="en-US" w:eastAsia="zh-CN" w:bidi="ar-SA"/>
        </w:rPr>
        <w:t>目 录</w:t>
      </w: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TOC \o "1-2" \h \u </w:instrText>
      </w:r>
      <w:r>
        <w:rPr>
          <w:rFonts w:hint="default" w:ascii="Times New Roman" w:hAnsi="Times New Roman" w:eastAsia="FangSong" w:cs="Times New Roman"/>
          <w:color w:val="auto"/>
          <w:kern w:val="2"/>
          <w:sz w:val="32"/>
          <w:szCs w:val="32"/>
          <w:lang w:val="en-US" w:eastAsia="zh-CN" w:bidi="ar-SA"/>
        </w:rPr>
        <w:fldChar w:fldCharType="separate"/>
      </w:r>
    </w:p>
    <w:p w14:paraId="16D3601F">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_Toc24071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一、本学位授权点年度建设总体情况</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_Toc24071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D08AD2A">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_Toc7494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_Toc7494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0ABBA39">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_Toc27656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（二）师资队伍建设</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_Toc27656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3E31112">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_Toc6387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_Toc6387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8AD55E1">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_Toc19089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_Toc19089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577CFC4">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_Toc16585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（五）传承创新优秀文化</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_Toc16585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625A18D">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_Toc24666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二、本学位授权点建设情况</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_Toc24666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850B218">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_Toc20649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_Toc20649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3</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6316E991">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_Toc20901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_Toc20901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C757954">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_Toc23596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_Toc23596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9</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A5A66AD">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_Toc19095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_Toc19095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707647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_Toc29191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三、质量保障措施</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_Toc29191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15</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6BC827F4">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_Toc3473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（一）导师指导</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_Toc3473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15</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2E907A3">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_Toc1938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（二）学风建设</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_Toc1938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15</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6566405B">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_Toc27935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（三）教学科研支撑</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_Toc27935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1C7FEDE">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_Toc21877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（四）奖助体系</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_Toc21877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38CC986">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_Toc22125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（五）权益保障</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_Toc22125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565B5C4">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_Toc22214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（六）经费保障</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_Toc22214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D0AF54E">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sz w:val="32"/>
          <w:szCs w:val="32"/>
          <w:lang w:val="en-US" w:eastAsia="zh-CN"/>
        </w:rPr>
        <w:fldChar w:fldCharType="begin"/>
      </w:r>
      <w:r>
        <w:rPr>
          <w:rFonts w:hint="default" w:ascii="Times New Roman" w:hAnsi="Times New Roman" w:eastAsia="FangSong" w:cs="Times New Roman"/>
          <w:color w:val="auto"/>
          <w:sz w:val="32"/>
          <w:szCs w:val="32"/>
          <w:lang w:val="en-US" w:eastAsia="zh-CN"/>
        </w:rPr>
        <w:instrText xml:space="preserve"> HYPERLINK \l _Toc30826 </w:instrText>
      </w:r>
      <w:r>
        <w:rPr>
          <w:rFonts w:hint="default" w:ascii="Times New Roman" w:hAnsi="Times New Roman" w:eastAsia="FangSong" w:cs="Times New Roman"/>
          <w:color w:val="auto"/>
          <w:sz w:val="32"/>
          <w:szCs w:val="32"/>
          <w:lang w:val="en-US" w:eastAsia="zh-CN"/>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（七）教学档案</w:t>
      </w:r>
      <w:r>
        <w:rPr>
          <w:rFonts w:hint="default" w:ascii="Times New Roman" w:hAnsi="Times New Roman" w:eastAsia="FangSong" w:cs="Times New Roman"/>
          <w:color w:val="auto"/>
          <w:sz w:val="32"/>
          <w:szCs w:val="32"/>
          <w:lang w:val="en-US" w:eastAsia="zh-CN"/>
        </w:rPr>
        <w:tab/>
      </w:r>
      <w:r>
        <w:rPr>
          <w:rFonts w:hint="default" w:ascii="Times New Roman" w:hAnsi="Times New Roman" w:eastAsia="FangSong" w:cs="Times New Roman"/>
          <w:color w:val="auto"/>
          <w:sz w:val="32"/>
          <w:szCs w:val="32"/>
          <w:lang w:val="en-US" w:eastAsia="zh-CN"/>
        </w:rPr>
        <w:fldChar w:fldCharType="begin"/>
      </w:r>
      <w:r>
        <w:rPr>
          <w:rFonts w:hint="default" w:ascii="Times New Roman" w:hAnsi="Times New Roman" w:eastAsia="FangSong" w:cs="Times New Roman"/>
          <w:color w:val="auto"/>
          <w:sz w:val="32"/>
          <w:szCs w:val="32"/>
          <w:lang w:val="en-US" w:eastAsia="zh-CN"/>
        </w:rPr>
        <w:instrText xml:space="preserve"> PAGEREF _Toc30826 \h </w:instrText>
      </w:r>
      <w:r>
        <w:rPr>
          <w:rFonts w:hint="default" w:ascii="Times New Roman" w:hAnsi="Times New Roman" w:eastAsia="FangSong" w:cs="Times New Roman"/>
          <w:color w:val="auto"/>
          <w:sz w:val="32"/>
          <w:szCs w:val="32"/>
          <w:lang w:val="en-US" w:eastAsia="zh-CN"/>
        </w:rPr>
        <w:fldChar w:fldCharType="separate"/>
      </w:r>
      <w:r>
        <w:rPr>
          <w:rFonts w:hint="default" w:ascii="Times New Roman" w:hAnsi="Times New Roman" w:eastAsia="FangSong" w:cs="Times New Roman"/>
          <w:color w:val="auto"/>
          <w:sz w:val="32"/>
          <w:szCs w:val="32"/>
          <w:lang w:val="en-US" w:eastAsia="zh-CN"/>
        </w:rPr>
        <w:t>16</w:t>
      </w:r>
      <w:r>
        <w:rPr>
          <w:rFonts w:hint="default" w:ascii="Times New Roman" w:hAnsi="Times New Roman" w:eastAsia="FangSong" w:cs="Times New Roman"/>
          <w:color w:val="auto"/>
          <w:sz w:val="32"/>
          <w:szCs w:val="32"/>
          <w:lang w:val="en-US" w:eastAsia="zh-CN"/>
        </w:rPr>
        <w:fldChar w:fldCharType="end"/>
      </w:r>
      <w:r>
        <w:rPr>
          <w:rFonts w:hint="default" w:ascii="Times New Roman" w:hAnsi="Times New Roman" w:eastAsia="FangSong" w:cs="Times New Roman"/>
          <w:color w:val="auto"/>
          <w:sz w:val="32"/>
          <w:szCs w:val="32"/>
        </w:rPr>
        <w:fldChar w:fldCharType="end"/>
      </w:r>
    </w:p>
    <w:p w14:paraId="414BEC6D">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_Toc26147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四、学位点和学科建设存在的差距与不足、挑战与机遇</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_Toc26147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75F7B37">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_Toc13566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（一）学科建设存在的差距与不足</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_Toc13566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A2F34EA">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_Toc4232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（二）学科建设面临的挑战与机遇</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_Toc4232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616387DB">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b/>
          <w:bCs/>
          <w:color w:val="auto"/>
          <w:kern w:val="2"/>
          <w:sz w:val="32"/>
          <w:szCs w:val="32"/>
          <w:lang w:val="en-US" w:eastAsia="zh-CN" w:bidi="ar-SA"/>
        </w:rPr>
      </w:pPr>
      <w:r>
        <w:rPr>
          <w:rFonts w:hint="default" w:ascii="Times New Roman" w:hAnsi="Times New Roman" w:eastAsia="SimSun" w:cs="Times New Roman"/>
          <w:b w:val="0"/>
          <w:bCs/>
          <w:i w:val="0"/>
          <w:iCs w:val="0"/>
          <w:color w:val="auto"/>
          <w:kern w:val="2"/>
          <w:sz w:val="28"/>
          <w:szCs w:val="28"/>
          <w:lang w:val="en-US" w:eastAsia="zh-CN" w:bidi="ar-SA"/>
        </w:rPr>
        <w:t>五</w:t>
      </w:r>
      <w:r>
        <w:rPr>
          <w:rFonts w:hint="default" w:ascii="Times New Roman" w:hAnsi="Times New Roman" w:eastAsia="SimSun" w:cs="Times New Roman"/>
          <w:b w:val="0"/>
          <w:bCs/>
          <w:i w:val="0"/>
          <w:iCs w:val="0"/>
          <w:color w:val="auto"/>
          <w:kern w:val="2"/>
          <w:sz w:val="28"/>
          <w:szCs w:val="28"/>
          <w:lang w:val="en-US" w:eastAsia="zh-CN" w:bidi="ar-SA"/>
        </w:rPr>
        <w:fldChar w:fldCharType="begin"/>
      </w:r>
      <w:r>
        <w:rPr>
          <w:rFonts w:hint="default" w:ascii="Times New Roman" w:hAnsi="Times New Roman" w:eastAsia="SimSun" w:cs="Times New Roman"/>
          <w:b w:val="0"/>
          <w:bCs/>
          <w:i w:val="0"/>
          <w:iCs w:val="0"/>
          <w:color w:val="auto"/>
          <w:kern w:val="2"/>
          <w:sz w:val="28"/>
          <w:szCs w:val="28"/>
          <w:lang w:val="en-US" w:eastAsia="zh-CN" w:bidi="ar-SA"/>
        </w:rPr>
        <w:instrText xml:space="preserve"> HYPERLINK \l _Toc13572 </w:instrText>
      </w:r>
      <w:r>
        <w:rPr>
          <w:rFonts w:hint="default" w:ascii="Times New Roman" w:hAnsi="Times New Roman" w:eastAsia="SimSun" w:cs="Times New Roman"/>
          <w:b w:val="0"/>
          <w:bCs/>
          <w:i w:val="0"/>
          <w:iCs w:val="0"/>
          <w:color w:val="auto"/>
          <w:kern w:val="2"/>
          <w:sz w:val="28"/>
          <w:szCs w:val="28"/>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、学位点及学科建设目标与任务</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lang w:val="en-US" w:eastAsia="zh-CN"/>
        </w:rPr>
        <w:fldChar w:fldCharType="begin"/>
      </w:r>
      <w:r>
        <w:rPr>
          <w:rFonts w:hint="default" w:ascii="Times New Roman" w:hAnsi="Times New Roman" w:eastAsia="FangSong" w:cs="Times New Roman"/>
          <w:color w:val="auto"/>
          <w:sz w:val="32"/>
          <w:szCs w:val="32"/>
          <w:lang w:val="en-US" w:eastAsia="zh-CN"/>
        </w:rPr>
        <w:instrText xml:space="preserve"> PAGEREF _Toc13572 \h </w:instrText>
      </w:r>
      <w:r>
        <w:rPr>
          <w:rFonts w:hint="default" w:ascii="Times New Roman" w:hAnsi="Times New Roman" w:eastAsia="FangSong" w:cs="Times New Roman"/>
          <w:color w:val="auto"/>
          <w:sz w:val="32"/>
          <w:szCs w:val="32"/>
          <w:lang w:val="en-US" w:eastAsia="zh-CN"/>
        </w:rPr>
        <w:fldChar w:fldCharType="separate"/>
      </w:r>
      <w:r>
        <w:rPr>
          <w:rFonts w:hint="default" w:ascii="Times New Roman" w:hAnsi="Times New Roman" w:eastAsia="FangSong" w:cs="Times New Roman"/>
          <w:color w:val="auto"/>
          <w:sz w:val="32"/>
          <w:szCs w:val="32"/>
          <w:lang w:val="en-US" w:eastAsia="zh-CN"/>
        </w:rPr>
        <w:t>18</w:t>
      </w:r>
      <w:r>
        <w:rPr>
          <w:rFonts w:hint="default" w:ascii="Times New Roman" w:hAnsi="Times New Roman" w:eastAsia="FangSong" w:cs="Times New Roman"/>
          <w:color w:val="auto"/>
          <w:sz w:val="32"/>
          <w:szCs w:val="32"/>
          <w:lang w:val="en-US" w:eastAsia="zh-CN"/>
        </w:rPr>
        <w:fldChar w:fldCharType="end"/>
      </w:r>
      <w:r>
        <w:rPr>
          <w:rFonts w:hint="default" w:ascii="Times New Roman" w:hAnsi="Times New Roman" w:eastAsia="SimSun" w:cs="Times New Roman"/>
          <w:b w:val="0"/>
          <w:bCs/>
          <w:i w:val="0"/>
          <w:iCs w:val="0"/>
          <w:color w:val="auto"/>
          <w:kern w:val="2"/>
          <w:sz w:val="28"/>
          <w:szCs w:val="28"/>
          <w:lang w:val="en-US" w:eastAsia="zh-CN" w:bidi="ar-SA"/>
        </w:rPr>
        <w:fldChar w:fldCharType="end"/>
      </w:r>
    </w:p>
    <w:p w14:paraId="7A87AEB9">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_Toc13303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（一）总体目标</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lang w:val="en-US" w:eastAsia="zh-CN"/>
        </w:rPr>
        <w:fldChar w:fldCharType="begin"/>
      </w:r>
      <w:r>
        <w:rPr>
          <w:rFonts w:hint="default" w:ascii="Times New Roman" w:hAnsi="Times New Roman" w:eastAsia="FangSong" w:cs="Times New Roman"/>
          <w:color w:val="auto"/>
          <w:sz w:val="32"/>
          <w:szCs w:val="32"/>
          <w:lang w:val="en-US" w:eastAsia="zh-CN"/>
        </w:rPr>
        <w:instrText xml:space="preserve"> PAGEREF _Toc13303 \h </w:instrText>
      </w:r>
      <w:r>
        <w:rPr>
          <w:rFonts w:hint="default" w:ascii="Times New Roman" w:hAnsi="Times New Roman" w:eastAsia="FangSong" w:cs="Times New Roman"/>
          <w:color w:val="auto"/>
          <w:sz w:val="32"/>
          <w:szCs w:val="32"/>
          <w:lang w:val="en-US" w:eastAsia="zh-CN"/>
        </w:rPr>
        <w:fldChar w:fldCharType="separate"/>
      </w:r>
      <w:r>
        <w:rPr>
          <w:rFonts w:hint="default" w:ascii="Times New Roman" w:hAnsi="Times New Roman" w:eastAsia="FangSong" w:cs="Times New Roman"/>
          <w:color w:val="auto"/>
          <w:sz w:val="32"/>
          <w:szCs w:val="32"/>
          <w:lang w:val="en-US" w:eastAsia="zh-CN"/>
        </w:rPr>
        <w:t>18</w:t>
      </w:r>
      <w:r>
        <w:rPr>
          <w:rFonts w:hint="default" w:ascii="Times New Roman" w:hAnsi="Times New Roman" w:eastAsia="FangSong" w:cs="Times New Roman"/>
          <w:color w:val="auto"/>
          <w:sz w:val="32"/>
          <w:szCs w:val="32"/>
          <w:lang w:val="en-US" w:eastAsia="zh-CN"/>
        </w:rPr>
        <w:fldChar w:fldCharType="end"/>
      </w:r>
      <w:r>
        <w:rPr>
          <w:rFonts w:hint="default" w:ascii="Times New Roman" w:hAnsi="Times New Roman" w:eastAsia="FangSong" w:cs="Times New Roman"/>
          <w:color w:val="auto"/>
          <w:sz w:val="32"/>
          <w:szCs w:val="32"/>
        </w:rPr>
        <w:fldChar w:fldCharType="end"/>
      </w:r>
    </w:p>
    <w:p w14:paraId="636C884C">
      <w:pPr>
        <w:pStyle w:val="5"/>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_Toc31963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（二）具体目标与任务</w:t>
      </w:r>
      <w:r>
        <w:rPr>
          <w:rFonts w:hint="default" w:ascii="Times New Roman" w:hAnsi="Times New Roman" w:eastAsia="SimSun" w:cs="Times New Roman"/>
          <w:b w:val="0"/>
          <w:bCs/>
          <w:i w:val="0"/>
          <w:iCs w:val="0"/>
          <w:color w:val="auto"/>
          <w:kern w:val="2"/>
          <w:sz w:val="28"/>
          <w:szCs w:val="28"/>
          <w:lang w:val="en-US" w:eastAsia="zh-CN" w:bidi="ar-SA"/>
        </w:rPr>
        <w:tab/>
      </w:r>
      <w:r>
        <w:rPr>
          <w:rFonts w:hint="default" w:ascii="Times New Roman" w:hAnsi="Times New Roman" w:eastAsia="FangSong" w:cs="Times New Roman"/>
          <w:color w:val="auto"/>
          <w:sz w:val="32"/>
          <w:szCs w:val="32"/>
          <w:lang w:val="en-US" w:eastAsia="zh-CN"/>
        </w:rPr>
        <w:fldChar w:fldCharType="begin"/>
      </w:r>
      <w:r>
        <w:rPr>
          <w:rFonts w:hint="default" w:ascii="Times New Roman" w:hAnsi="Times New Roman" w:eastAsia="FangSong" w:cs="Times New Roman"/>
          <w:color w:val="auto"/>
          <w:sz w:val="32"/>
          <w:szCs w:val="32"/>
          <w:lang w:val="en-US" w:eastAsia="zh-CN"/>
        </w:rPr>
        <w:instrText xml:space="preserve"> PAGEREF _Toc31963 \h </w:instrText>
      </w:r>
      <w:r>
        <w:rPr>
          <w:rFonts w:hint="default" w:ascii="Times New Roman" w:hAnsi="Times New Roman" w:eastAsia="FangSong" w:cs="Times New Roman"/>
          <w:color w:val="auto"/>
          <w:sz w:val="32"/>
          <w:szCs w:val="32"/>
          <w:lang w:val="en-US" w:eastAsia="zh-CN"/>
        </w:rPr>
        <w:fldChar w:fldCharType="separate"/>
      </w:r>
      <w:r>
        <w:rPr>
          <w:rFonts w:hint="default" w:ascii="Times New Roman" w:hAnsi="Times New Roman" w:eastAsia="FangSong" w:cs="Times New Roman"/>
          <w:color w:val="auto"/>
          <w:sz w:val="32"/>
          <w:szCs w:val="32"/>
          <w:lang w:val="en-US" w:eastAsia="zh-CN"/>
        </w:rPr>
        <w:t>18</w:t>
      </w:r>
      <w:r>
        <w:rPr>
          <w:rFonts w:hint="default" w:ascii="Times New Roman" w:hAnsi="Times New Roman" w:eastAsia="FangSong" w:cs="Times New Roman"/>
          <w:color w:val="auto"/>
          <w:sz w:val="32"/>
          <w:szCs w:val="32"/>
          <w:lang w:val="en-US" w:eastAsia="zh-CN"/>
        </w:rPr>
        <w:fldChar w:fldCharType="end"/>
      </w:r>
      <w:r>
        <w:rPr>
          <w:rFonts w:hint="default" w:ascii="Times New Roman" w:hAnsi="Times New Roman" w:eastAsia="FangSong" w:cs="Times New Roman"/>
          <w:color w:val="auto"/>
          <w:sz w:val="32"/>
          <w:szCs w:val="32"/>
        </w:rPr>
        <w:fldChar w:fldCharType="end"/>
      </w:r>
    </w:p>
    <w:p w14:paraId="09B5F715">
      <w:pPr>
        <w:keepNext w:val="0"/>
        <w:keepLines w:val="0"/>
        <w:pageBreakBefore w:val="0"/>
        <w:widowControl w:val="0"/>
        <w:kinsoku/>
        <w:wordWrap/>
        <w:overflowPunct/>
        <w:topLinePunct w:val="0"/>
        <w:autoSpaceDE/>
        <w:autoSpaceDN/>
        <w:bidi w:val="0"/>
        <w:adjustRightInd/>
        <w:snapToGrid w:val="0"/>
        <w:spacing w:line="600" w:lineRule="exact"/>
        <w:ind w:left="-210" w:leftChars="-100" w:right="-210" w:rightChars="-100"/>
        <w:jc w:val="center"/>
        <w:textAlignment w:val="auto"/>
        <w:outlineLvl w:val="0"/>
        <w:rPr>
          <w:rFonts w:hint="default" w:ascii="Times New Roman" w:hAnsi="Times New Roman" w:eastAsia="FangSong" w:cs="Times New Roman"/>
          <w:color w:val="auto"/>
          <w:sz w:val="32"/>
          <w:szCs w:val="32"/>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docGrid w:type="lines" w:linePitch="436" w:charSpace="0"/>
        </w:sectPr>
      </w:pPr>
      <w:r>
        <w:rPr>
          <w:rFonts w:hint="default" w:ascii="Times New Roman" w:hAnsi="Times New Roman" w:eastAsia="FangSong" w:cs="Times New Roman"/>
          <w:color w:val="auto"/>
          <w:sz w:val="32"/>
          <w:szCs w:val="32"/>
        </w:rPr>
        <w:fldChar w:fldCharType="end"/>
      </w:r>
    </w:p>
    <w:bookmarkEnd w:id="0"/>
    <w:p w14:paraId="3FC1D47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SimHei" w:cs="Times New Roman"/>
          <w:b w:val="0"/>
          <w:bCs/>
          <w:color w:val="auto"/>
          <w:kern w:val="2"/>
          <w:sz w:val="30"/>
          <w:szCs w:val="30"/>
          <w:lang w:val="en-US" w:eastAsia="zh-CN" w:bidi="ar-SA"/>
        </w:rPr>
      </w:pPr>
      <w:bookmarkStart w:id="1" w:name="_Toc24071"/>
      <w:r>
        <w:rPr>
          <w:rFonts w:hint="default" w:ascii="Times New Roman" w:hAnsi="Times New Roman" w:eastAsia="SimHei" w:cs="Times New Roman"/>
          <w:b w:val="0"/>
          <w:bCs/>
          <w:color w:val="auto"/>
          <w:kern w:val="2"/>
          <w:sz w:val="30"/>
          <w:szCs w:val="30"/>
          <w:lang w:val="en-US" w:eastAsia="zh-CN" w:bidi="ar-SA"/>
        </w:rPr>
        <w:t>一、本学位授权点年度建设总体情况</w:t>
      </w:r>
      <w:bookmarkEnd w:id="1"/>
    </w:p>
    <w:p w14:paraId="23BD20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2022年度，在学校各职能部门的指导和支持下，在全院师生的共同努力下，法学硕士学位点建设在各个方面取得了较好的成绩。</w:t>
      </w:r>
    </w:p>
    <w:p w14:paraId="0891393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 w:name="_Toc7494"/>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2"/>
    </w:p>
    <w:p w14:paraId="73C96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在人才培养工作中严把质量关，在课程思政、实践基地建设、过程培养方面取得了良好效果。一是强化师生思想政治教育，大力推进课程思政改革，持续抓好学风建设，加强资助育人和学生心理健康教育，全力构建“三全育人”大思政工作体系。二是为积极应对新冠肺炎疫情，努力探索在线教学模式，积累了宝贵教学经验。三是进一步加强校地合作，努力建设校地合作基地。四是研究生培养取得可喜成绩。获得湖南省优秀毕业生1位，研究生共评选出学业奖学金37人、国家奖学金1人。本年度招生研究生人数28人，授予学位24人，截止当前，研究生就业率100%。</w:t>
      </w:r>
    </w:p>
    <w:p w14:paraId="07AE3CB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bookmarkStart w:id="3" w:name="_Toc27656"/>
      <w:r>
        <w:rPr>
          <w:rFonts w:hint="default" w:ascii="Times New Roman" w:hAnsi="Times New Roman" w:eastAsia="SimHei" w:cs="Times New Roman"/>
          <w:b w:val="0"/>
          <w:bCs w:val="0"/>
          <w:i w:val="0"/>
          <w:iCs w:val="0"/>
          <w:kern w:val="2"/>
          <w:sz w:val="28"/>
          <w:szCs w:val="28"/>
          <w:lang w:val="en-US" w:eastAsia="zh-CN" w:bidi="ar-SA"/>
        </w:rPr>
        <w:t>（二）师资队伍建设</w:t>
      </w:r>
      <w:bookmarkEnd w:id="3"/>
    </w:p>
    <w:p w14:paraId="383EB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eastAsia" w:cs="Times New Roman"/>
          <w:i w:val="0"/>
          <w:iCs w:val="0"/>
          <w:color w:val="auto"/>
          <w:kern w:val="2"/>
          <w:sz w:val="24"/>
          <w:szCs w:val="24"/>
          <w:lang w:val="en-US" w:eastAsia="zh-CN" w:bidi="ar-SA"/>
        </w:rPr>
        <w:t>本学位点</w:t>
      </w:r>
      <w:bookmarkStart w:id="26" w:name="_GoBack"/>
      <w:bookmarkEnd w:id="26"/>
      <w:r>
        <w:rPr>
          <w:rFonts w:hint="default" w:ascii="Times New Roman" w:hAnsi="Times New Roman" w:cs="Times New Roman"/>
          <w:i w:val="0"/>
          <w:iCs w:val="0"/>
          <w:color w:val="auto"/>
          <w:kern w:val="2"/>
          <w:sz w:val="24"/>
          <w:szCs w:val="24"/>
          <w:lang w:val="en-US" w:eastAsia="zh-CN" w:bidi="ar-SA"/>
        </w:rPr>
        <w:t>继续加强师资队伍建设，并以师资队伍建设促进学风、院风建设。法学硕士学位授权点现有法学理论、宪法学与行政法学、刑法学、民商法学、环境与资源保护法学五个研究方向，共有研究生导师19名，其中教授9人、副教授10人，有8位导师拥有博士学位。导师培训、考核情况合格，对学生论文质量把控严格，教师进取心强，整体学术水平不断提高。</w:t>
      </w:r>
    </w:p>
    <w:p w14:paraId="4066243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bookmarkStart w:id="4" w:name="_Toc6387"/>
      <w:r>
        <w:rPr>
          <w:rFonts w:hint="default" w:ascii="Times New Roman" w:hAnsi="Times New Roman" w:eastAsia="SimHei" w:cs="Times New Roman"/>
          <w:b w:val="0"/>
          <w:bCs w:val="0"/>
          <w:i w:val="0"/>
          <w:iCs w:val="0"/>
          <w:kern w:val="2"/>
          <w:sz w:val="28"/>
          <w:szCs w:val="28"/>
          <w:lang w:val="en-US" w:eastAsia="zh-CN" w:bidi="ar-SA"/>
        </w:rPr>
        <w:t>（三）科学研究和社会服务</w:t>
      </w:r>
      <w:bookmarkEnd w:id="4"/>
    </w:p>
    <w:p w14:paraId="050305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年度我院累计发表论文23篇，CSSCI期刊11篇，SCI期刊1篇，省级刊物12篇，其中，我校首次在法学顶级刊物《中国法学》发表学术论文。此外，我院周训芳老师主持起草《广东省森林保护管理条例》《广东省林业有害生物防治检疫条例》，已经报送广东省人大常委会列入2023年审议议程；主持起草《益阳市大通湖湖泊保护管理办法》，列入益阳市人民政府审议议程，年内将正式公布；主持起草《湖南省人民政府办公厅关于进一步深化国有林场改革推进秀美林场建设的通知（送审稿）》，年内将正式发布；周训芳老师主持，李敏老师、诸江老师、王蓉老师参与起草的《南山国家公园集体林地地役权改革实施方案》，已经付诸实施。湖南省第十五届社科成果三等奖1项。湖南省社会科学普及网上答题优秀组织个人1项。湖南省教育厅科学研究工作者协会优秀论文二等奖2项。2022年，我院获得湖南省教育厅一般项目1项，湖南省教育厅优秀青年项目1项，湖南省哲学社会科学规划办一般项目1项，湖南省林业局项目1项。横向科研项目5项，合同金额45.6893万。积极参加社会服务工作。参与全国人大环资委、全国人大法工委、中国法学会、国家林业和草原局、湖南省人民检察院、湖南省林业局、湖南省司法厅、湖南省生态环境厅、长沙市人大常委会等组织的立法论证、专家咨询等社会服务活动，积极开展各项普法工作，参与地方政府法治建设与地方政府领导能力建设，为依法治国和法治政府建设贡献智慧。</w:t>
      </w:r>
    </w:p>
    <w:p w14:paraId="6C9DE53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5" w:name="_Toc19089"/>
      <w:r>
        <w:rPr>
          <w:rFonts w:hint="default" w:ascii="Times New Roman" w:hAnsi="Times New Roman" w:eastAsia="SimHei" w:cs="Times New Roman"/>
          <w:b w:val="0"/>
          <w:bCs w:val="0"/>
          <w:i w:val="0"/>
          <w:iCs w:val="0"/>
          <w:color w:val="auto"/>
          <w:kern w:val="2"/>
          <w:sz w:val="28"/>
          <w:szCs w:val="28"/>
          <w:lang w:val="en-US" w:eastAsia="zh-CN" w:bidi="ar-SA"/>
        </w:rPr>
        <w:t>（四）国际合作交流</w:t>
      </w:r>
      <w:bookmarkEnd w:id="5"/>
    </w:p>
    <w:p w14:paraId="7FE06E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积极参加国际合作交流，我院周训芳教授于2022年5月30日参加科技部、国家林草局联合举办的发展中国家林业部政府官员国际会议，为“发展中国家森林执法与施政官员培训班”作forest law in China的主题报告，全球在线同声翻译；于2022年7月29日，周训芳参加科技部、国家林草局联合举办的发展中国家履行《联合国森林文书》国际会议，为“发展中国家履行《联合国森林文书》及森林可持续经营官员研修班”作forest law in China的主题报告，全球在线同声翻译。教师李剑博士、白越博士、郑勇博士参加了“气候变化诉讼：第一届中德气候法与可持续发展研讨会”等国际会议。</w:t>
      </w:r>
    </w:p>
    <w:p w14:paraId="6B290E1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6" w:name="_Toc16585"/>
      <w:r>
        <w:rPr>
          <w:rFonts w:hint="default" w:ascii="Times New Roman" w:hAnsi="Times New Roman" w:eastAsia="SimHei" w:cs="Times New Roman"/>
          <w:b w:val="0"/>
          <w:bCs w:val="0"/>
          <w:i w:val="0"/>
          <w:iCs w:val="0"/>
          <w:color w:val="auto"/>
          <w:kern w:val="2"/>
          <w:sz w:val="28"/>
          <w:szCs w:val="28"/>
          <w:lang w:val="en-US" w:eastAsia="zh-CN" w:bidi="ar-SA"/>
        </w:rPr>
        <w:t>（五）传承创新优秀文化</w:t>
      </w:r>
      <w:bookmarkEnd w:id="6"/>
    </w:p>
    <w:p w14:paraId="7EF9CC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2022年度我院邀请最高人民法院咨询委员会副主任胡云腾教授到我院进行交流，邀请同济大学政治与国际关系学院教授、博士生导师余敏江讲授到我院进行交流，邀请长沙市法学会办公室主任、秘书长黄俊峰博士到我校开展“法科生公务员职业规划漫谈”专题讲座，并大力支持本院教师及研究生参加各类省内外学术会议及各类学科竞赛，年度累计参会20余人次，学院老师受邀为社会各界开展学术讲座近30次。</w:t>
      </w:r>
    </w:p>
    <w:p w14:paraId="458E4BE1">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7" w:name="_Toc24666"/>
      <w:r>
        <w:rPr>
          <w:rFonts w:hint="default" w:ascii="Times New Roman" w:hAnsi="Times New Roman" w:eastAsia="SimHei" w:cs="Times New Roman"/>
          <w:b w:val="0"/>
          <w:bCs/>
          <w:color w:val="auto"/>
          <w:kern w:val="2"/>
          <w:sz w:val="30"/>
          <w:szCs w:val="30"/>
          <w:lang w:val="en-US" w:eastAsia="zh-CN" w:bidi="ar-SA"/>
        </w:rPr>
        <w:t>二、本学位授权点建设情况</w:t>
      </w:r>
      <w:bookmarkEnd w:id="7"/>
    </w:p>
    <w:p w14:paraId="2E1DCC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8" w:name="_Toc20649"/>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8"/>
    </w:p>
    <w:p w14:paraId="2F336B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思想政治教育特色与成效</w:t>
      </w:r>
    </w:p>
    <w:p w14:paraId="571EE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（1）</w:t>
      </w:r>
      <w:r>
        <w:rPr>
          <w:rFonts w:hint="default" w:ascii="Times New Roman" w:hAnsi="Times New Roman" w:eastAsia="SimSun" w:cs="Times New Roman"/>
          <w:i w:val="0"/>
          <w:iCs w:val="0"/>
          <w:color w:val="auto"/>
          <w:kern w:val="2"/>
          <w:sz w:val="24"/>
          <w:szCs w:val="24"/>
          <w:lang w:val="en-US" w:eastAsia="zh-CN" w:bidi="ar-SA"/>
        </w:rPr>
        <w:t>思想政治教育特色。为深入贯彻落实全国高校思想政治工作会议精神，本学科坚持办学正确政治方向，认真落实“立德树人”根本任务，以“学生思政”“教师思政”“课程思政”“学科思政”等为抓手，挖掘育人要素，完善育人机制，优化评价激励，强化实施保障，切实构建“十大”育人体系，“三全育人”格局已然形成。其中，在以下五个方面主要做法如下：</w:t>
      </w:r>
    </w:p>
    <w:p w14:paraId="554B9E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①课程思政改革。一是依托学科自身教师资源，以全国优秀教师蒋兰香、湖南省优秀教师向佐群等为骨干，组建一支课程思政优秀教师团队；二是紧扣学科“生态”特色，遴选和建设一批优秀教材，将习近平法治思想和习近平生态文明思想等思政元素有机融入教学全过程；三是提炼一系列“课程思政”教育教学改革典型经验和经典案例，通过教学观摩、专题讲学等多种方式，打造一批“课程思政”示范课堂；四是通过校院系三级督导评价、学生评教、五个学科方向教师互评、系党支部、院党委两级党组织评审把关，构建一套四位一体的“课程思政”教育教学质量考核评价体系。</w:t>
      </w:r>
    </w:p>
    <w:p w14:paraId="030CD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②社会实践开展。一是利用区域优势，大力建设产学研基地，强化校地、校企合作，拓展实践基地，开展创新创业、实训实践工作；二是结合学科特色，大力开展普法宣讲、关爱留守儿童、社区服务、支教帮扶、精准扶贫等系列公益服务活动；三是发挥学科优势，组建团队开展服务农民工法治宣传、农民工权益保护以及律师调解等系列社会实践活动；四是运用资源优势，组织开展“庭审进校园”“法院开放日”、模拟法庭大赛、法律案例大赛、法律实践能力大赛、“学宪法、讲宪法”系列竞赛等实践活动。</w:t>
      </w:r>
    </w:p>
    <w:p w14:paraId="5970FC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③意识形态阵地管理。实行党委统一领导，党政齐抓共管，严格落实“一岗双责”。严格掌控“立德树人”主渠道课堂教学质量关，实施党政领导、教学督导、支部书记、系主任进课堂听课评课制度；成立工作专班，对教材选用进行意识形态专项审核；对讲座、报告等实行“一会一报”审查制度；对网站、新媒体等宣传阵地实行“三审制”，由学院党委书记总把关。对意识形态重点领域、重点人群，以事前预防为主、事中盯防为重，事后一对一教育帮扶。</w:t>
      </w:r>
    </w:p>
    <w:p w14:paraId="0DDAEF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④基层党组织建设。在学院党委的领导下，本学科设置了教职工、研究生和本科生三个党支部，支部书记分别由系主任、学术骨干教师和辅导员担任，全部履行“一岗双责”，教师党支部书记纳入“双带头人”培育工程。</w:t>
      </w:r>
    </w:p>
    <w:p w14:paraId="6CE8A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⑤思政队伍建设。思政队伍实行专兼两结合，校院系三级管理，构建辅导员、支部书记、班主任、导师以及师生党员五位一体思政队伍管理模式。</w:t>
      </w:r>
    </w:p>
    <w:p w14:paraId="4D99B79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思想政治教育成效。</w:t>
      </w:r>
    </w:p>
    <w:p w14:paraId="5C98F4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①政治建设取得新发展。一是党的全面领导更加有力。全面规范学院党委会、党政联席会决策制度，强化对学术组织、群团组织的政治领导，保证党的全面领导有机贯穿融入立德树人全过程；二是基层党组织组织力显著提高。通过开展新时代党建示范创建和质量创优工作，实现了党支部“五化”建设全达标，教师党支部书记“双带头人”全实现，党支部书记培训全覆盖；三是学生党员发展质量得到保证，先锋模范作用得到充分发挥。</w:t>
      </w:r>
    </w:p>
    <w:p w14:paraId="6B3038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②思想政治工作呈现新气象。一是“三全育人”工作新格局已形成。在人员上全参与，做到人人育人，在时间上全连续，做到时时育人，在空间上全覆盖，做到处处育人；二是大“思政教育”体系已完善，思想政治教育更精准，课程、科研、实践、文化、网络、心理、管理、服务、资助、组织等十大育人功能得以充分发挥。</w:t>
      </w:r>
    </w:p>
    <w:p w14:paraId="1C79D5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③师生榜样力量获得新成效。师生党员先锋模范得到充分彰显。近年来，师生获得校级以上优秀共产党员、优秀党务工作者、教学工作先进个人等称号20余人次。2022年，胡潇潇、邓艳林、蔡卓在班级、党务等各项工作中获得先进个人称号。</w:t>
      </w:r>
    </w:p>
    <w:p w14:paraId="20E3F1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培养过程</w:t>
      </w:r>
    </w:p>
    <w:p w14:paraId="1D7B85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依据学校各项规章制度，逐步建立了教学质量标准体系，涵盖任课教师资格、理论教学、实践教学、课程考核、教学档案管理等主要教学环节，对课前准备、课堂教学、实习实践、毕业论文等环节的教学质量都进行了明确、具体的规定，经过多年教学实践的检验，这套质量标准是科学可行的，得到了广大师生的普遍认可。各主要教学环节的质量标准齐全；建立的质量标准科学、可行。</w:t>
      </w:r>
    </w:p>
    <w:p w14:paraId="7C994D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 教学成果奖</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4"/>
        <w:gridCol w:w="1795"/>
        <w:gridCol w:w="1953"/>
        <w:gridCol w:w="1505"/>
        <w:gridCol w:w="1364"/>
        <w:gridCol w:w="1187"/>
      </w:tblGrid>
      <w:tr w14:paraId="5C09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34" w:type="dxa"/>
            <w:vAlign w:val="center"/>
          </w:tcPr>
          <w:p w14:paraId="79CADB7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95" w:type="dxa"/>
            <w:vAlign w:val="center"/>
          </w:tcPr>
          <w:p w14:paraId="411517F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获奖成果名称</w:t>
            </w:r>
          </w:p>
        </w:tc>
        <w:tc>
          <w:tcPr>
            <w:tcW w:w="1953" w:type="dxa"/>
            <w:vAlign w:val="center"/>
          </w:tcPr>
          <w:p w14:paraId="4EDE4D4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获奖类别及等级</w:t>
            </w:r>
          </w:p>
        </w:tc>
        <w:tc>
          <w:tcPr>
            <w:tcW w:w="1505" w:type="dxa"/>
            <w:vAlign w:val="center"/>
          </w:tcPr>
          <w:p w14:paraId="21F0D5A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授予部门</w:t>
            </w:r>
          </w:p>
        </w:tc>
        <w:tc>
          <w:tcPr>
            <w:tcW w:w="1364" w:type="dxa"/>
            <w:vAlign w:val="center"/>
          </w:tcPr>
          <w:p w14:paraId="5E28116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成果完成人</w:t>
            </w:r>
          </w:p>
        </w:tc>
        <w:tc>
          <w:tcPr>
            <w:tcW w:w="1187" w:type="dxa"/>
            <w:vAlign w:val="center"/>
          </w:tcPr>
          <w:p w14:paraId="73FC640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r>
      <w:tr w14:paraId="2AF8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vAlign w:val="center"/>
          </w:tcPr>
          <w:p w14:paraId="36BEA2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795" w:type="dxa"/>
            <w:vAlign w:val="center"/>
          </w:tcPr>
          <w:p w14:paraId="4B9671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第八届“漾翅杯”法律实践能力大赛</w:t>
            </w:r>
          </w:p>
        </w:tc>
        <w:tc>
          <w:tcPr>
            <w:tcW w:w="1953" w:type="dxa"/>
            <w:vAlign w:val="center"/>
          </w:tcPr>
          <w:p w14:paraId="352056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团体协作一等奖</w:t>
            </w:r>
          </w:p>
        </w:tc>
        <w:tc>
          <w:tcPr>
            <w:tcW w:w="1505" w:type="dxa"/>
            <w:vAlign w:val="center"/>
          </w:tcPr>
          <w:p w14:paraId="50CD26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湖南省程序法学会</w:t>
            </w:r>
          </w:p>
        </w:tc>
        <w:tc>
          <w:tcPr>
            <w:tcW w:w="1364" w:type="dxa"/>
            <w:vAlign w:val="center"/>
          </w:tcPr>
          <w:p w14:paraId="54D92F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方臻</w:t>
            </w:r>
          </w:p>
        </w:tc>
        <w:tc>
          <w:tcPr>
            <w:tcW w:w="1187" w:type="dxa"/>
            <w:vAlign w:val="center"/>
          </w:tcPr>
          <w:p w14:paraId="75A2BF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r>
      <w:tr w14:paraId="7B1C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vAlign w:val="center"/>
          </w:tcPr>
          <w:p w14:paraId="0870C8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795" w:type="dxa"/>
            <w:vAlign w:val="center"/>
          </w:tcPr>
          <w:p w14:paraId="372F11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第六届高校研究生法律案例大赛</w:t>
            </w:r>
          </w:p>
        </w:tc>
        <w:tc>
          <w:tcPr>
            <w:tcW w:w="1953" w:type="dxa"/>
            <w:vAlign w:val="center"/>
          </w:tcPr>
          <w:p w14:paraId="5596B5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书状比赛二等奖</w:t>
            </w:r>
          </w:p>
        </w:tc>
        <w:tc>
          <w:tcPr>
            <w:tcW w:w="1505" w:type="dxa"/>
            <w:vAlign w:val="center"/>
          </w:tcPr>
          <w:p w14:paraId="148C13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1364" w:type="dxa"/>
            <w:vAlign w:val="center"/>
          </w:tcPr>
          <w:p w14:paraId="3ED700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黄娟、诸江</w:t>
            </w:r>
          </w:p>
        </w:tc>
        <w:tc>
          <w:tcPr>
            <w:tcW w:w="1187" w:type="dxa"/>
            <w:vAlign w:val="center"/>
          </w:tcPr>
          <w:p w14:paraId="3CF78A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r>
    </w:tbl>
    <w:p w14:paraId="26F911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7CE2A3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表2  学生代表性成果（限20项）</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2"/>
        <w:gridCol w:w="1144"/>
        <w:gridCol w:w="1001"/>
        <w:gridCol w:w="3052"/>
        <w:gridCol w:w="1019"/>
      </w:tblGrid>
      <w:tr w14:paraId="1CF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5" w:type="dxa"/>
            <w:tcBorders>
              <w:tl2br w:val="nil"/>
              <w:tr2bl w:val="nil"/>
            </w:tcBorders>
            <w:vAlign w:val="center"/>
          </w:tcPr>
          <w:p w14:paraId="30F117F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06" w:type="dxa"/>
            <w:tcBorders>
              <w:tl2br w:val="nil"/>
              <w:tr2bl w:val="nil"/>
            </w:tcBorders>
            <w:vAlign w:val="center"/>
          </w:tcPr>
          <w:p w14:paraId="1E3C846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p w14:paraId="3922C05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（入学时间，学位类型，学习方式）</w:t>
            </w:r>
          </w:p>
        </w:tc>
        <w:tc>
          <w:tcPr>
            <w:tcW w:w="1134" w:type="dxa"/>
            <w:tcBorders>
              <w:tl2br w:val="nil"/>
              <w:tr2bl w:val="nil"/>
            </w:tcBorders>
            <w:vAlign w:val="center"/>
          </w:tcPr>
          <w:p w14:paraId="104C38B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成果类别</w:t>
            </w:r>
          </w:p>
        </w:tc>
        <w:tc>
          <w:tcPr>
            <w:tcW w:w="992" w:type="dxa"/>
            <w:tcBorders>
              <w:tl2br w:val="nil"/>
              <w:tr2bl w:val="nil"/>
            </w:tcBorders>
            <w:vAlign w:val="center"/>
          </w:tcPr>
          <w:p w14:paraId="1DD4AC0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w:t>
            </w:r>
          </w:p>
          <w:p w14:paraId="345EA9F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3024" w:type="dxa"/>
            <w:tcBorders>
              <w:tl2br w:val="nil"/>
              <w:tr2bl w:val="nil"/>
            </w:tcBorders>
            <w:vAlign w:val="center"/>
          </w:tcPr>
          <w:p w14:paraId="1DDFD01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成果简介</w:t>
            </w:r>
          </w:p>
        </w:tc>
        <w:tc>
          <w:tcPr>
            <w:tcW w:w="1010" w:type="dxa"/>
            <w:tcBorders>
              <w:tl2br w:val="nil"/>
              <w:tr2bl w:val="nil"/>
            </w:tcBorders>
            <w:vAlign w:val="center"/>
          </w:tcPr>
          <w:p w14:paraId="66E3658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学生参与情况</w:t>
            </w:r>
          </w:p>
        </w:tc>
      </w:tr>
      <w:tr w14:paraId="35D3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95" w:type="dxa"/>
            <w:tcBorders>
              <w:tl2br w:val="nil"/>
              <w:tr2bl w:val="nil"/>
            </w:tcBorders>
            <w:vAlign w:val="center"/>
          </w:tcPr>
          <w:p w14:paraId="4E6323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706" w:type="dxa"/>
            <w:tcBorders>
              <w:tl2br w:val="nil"/>
              <w:tr2bl w:val="nil"/>
            </w:tcBorders>
            <w:vAlign w:val="center"/>
          </w:tcPr>
          <w:p w14:paraId="1E0A41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李凤姣（202009，学术学位硕士，全日制）</w:t>
            </w:r>
          </w:p>
        </w:tc>
        <w:tc>
          <w:tcPr>
            <w:tcW w:w="1134" w:type="dxa"/>
            <w:tcBorders>
              <w:tl2br w:val="nil"/>
              <w:tr2bl w:val="nil"/>
            </w:tcBorders>
            <w:vAlign w:val="center"/>
          </w:tcPr>
          <w:p w14:paraId="4D7A083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学科竞赛获奖</w:t>
            </w:r>
          </w:p>
        </w:tc>
        <w:tc>
          <w:tcPr>
            <w:tcW w:w="992" w:type="dxa"/>
            <w:tcBorders>
              <w:tl2br w:val="nil"/>
              <w:tr2bl w:val="nil"/>
            </w:tcBorders>
            <w:vAlign w:val="center"/>
          </w:tcPr>
          <w:p w14:paraId="7B3656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202201</w:t>
            </w:r>
          </w:p>
        </w:tc>
        <w:tc>
          <w:tcPr>
            <w:tcW w:w="3024" w:type="dxa"/>
            <w:tcBorders>
              <w:tl2br w:val="nil"/>
              <w:tr2bl w:val="nil"/>
            </w:tcBorders>
            <w:vAlign w:val="center"/>
          </w:tcPr>
          <w:p w14:paraId="72334C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第一届湖南省研究生创意写作竞赛三等奖</w:t>
            </w:r>
          </w:p>
        </w:tc>
        <w:tc>
          <w:tcPr>
            <w:tcW w:w="1010" w:type="dxa"/>
            <w:tcBorders>
              <w:tl2br w:val="nil"/>
              <w:tr2bl w:val="nil"/>
            </w:tcBorders>
            <w:vAlign w:val="center"/>
          </w:tcPr>
          <w:p w14:paraId="51B1955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2B55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95" w:type="dxa"/>
            <w:tcBorders>
              <w:tl2br w:val="nil"/>
              <w:tr2bl w:val="nil"/>
            </w:tcBorders>
            <w:vAlign w:val="center"/>
          </w:tcPr>
          <w:p w14:paraId="14805E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706" w:type="dxa"/>
            <w:tcBorders>
              <w:tl2br w:val="nil"/>
              <w:tr2bl w:val="nil"/>
            </w:tcBorders>
            <w:vAlign w:val="center"/>
          </w:tcPr>
          <w:p w14:paraId="027A24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张倩（202009，学术学位硕士，全日制）</w:t>
            </w:r>
          </w:p>
        </w:tc>
        <w:tc>
          <w:tcPr>
            <w:tcW w:w="1134" w:type="dxa"/>
            <w:tcBorders>
              <w:tl2br w:val="nil"/>
              <w:tr2bl w:val="nil"/>
            </w:tcBorders>
            <w:vAlign w:val="center"/>
          </w:tcPr>
          <w:p w14:paraId="3C03166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会议论文获奖</w:t>
            </w:r>
          </w:p>
        </w:tc>
        <w:tc>
          <w:tcPr>
            <w:tcW w:w="992" w:type="dxa"/>
            <w:tcBorders>
              <w:tl2br w:val="nil"/>
              <w:tr2bl w:val="nil"/>
            </w:tcBorders>
            <w:vAlign w:val="center"/>
          </w:tcPr>
          <w:p w14:paraId="326812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202206</w:t>
            </w:r>
          </w:p>
        </w:tc>
        <w:tc>
          <w:tcPr>
            <w:tcW w:w="3024" w:type="dxa"/>
            <w:tcBorders>
              <w:tl2br w:val="nil"/>
              <w:tr2bl w:val="nil"/>
            </w:tcBorders>
            <w:vAlign w:val="center"/>
          </w:tcPr>
          <w:p w14:paraId="63736D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第八届法治社会-长江（国际）论坛三等奖</w:t>
            </w:r>
          </w:p>
        </w:tc>
        <w:tc>
          <w:tcPr>
            <w:tcW w:w="1010" w:type="dxa"/>
            <w:tcBorders>
              <w:tl2br w:val="nil"/>
              <w:tr2bl w:val="nil"/>
            </w:tcBorders>
            <w:vAlign w:val="center"/>
          </w:tcPr>
          <w:p w14:paraId="5537A5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9B9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5" w:type="dxa"/>
            <w:tcBorders>
              <w:tl2br w:val="nil"/>
              <w:tr2bl w:val="nil"/>
            </w:tcBorders>
            <w:vAlign w:val="center"/>
          </w:tcPr>
          <w:p w14:paraId="789D09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706" w:type="dxa"/>
            <w:tcBorders>
              <w:tl2br w:val="nil"/>
              <w:tr2bl w:val="nil"/>
            </w:tcBorders>
            <w:vAlign w:val="center"/>
          </w:tcPr>
          <w:p w14:paraId="7AB601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李清华（202009，学术学位硕士，全日制）</w:t>
            </w:r>
          </w:p>
        </w:tc>
        <w:tc>
          <w:tcPr>
            <w:tcW w:w="1134" w:type="dxa"/>
            <w:tcBorders>
              <w:tl2br w:val="nil"/>
              <w:tr2bl w:val="nil"/>
            </w:tcBorders>
            <w:vAlign w:val="center"/>
          </w:tcPr>
          <w:p w14:paraId="6D3C5F8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学科竞赛获奖</w:t>
            </w:r>
          </w:p>
        </w:tc>
        <w:tc>
          <w:tcPr>
            <w:tcW w:w="992" w:type="dxa"/>
            <w:tcBorders>
              <w:tl2br w:val="nil"/>
              <w:tr2bl w:val="nil"/>
            </w:tcBorders>
            <w:vAlign w:val="center"/>
          </w:tcPr>
          <w:p w14:paraId="5F551C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202210</w:t>
            </w:r>
          </w:p>
        </w:tc>
        <w:tc>
          <w:tcPr>
            <w:tcW w:w="3024" w:type="dxa"/>
            <w:tcBorders>
              <w:tl2br w:val="nil"/>
              <w:tr2bl w:val="nil"/>
            </w:tcBorders>
            <w:vAlign w:val="center"/>
          </w:tcPr>
          <w:p w14:paraId="036A75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第一届东放明杯模拟立法大赛优秀奖</w:t>
            </w:r>
          </w:p>
        </w:tc>
        <w:tc>
          <w:tcPr>
            <w:tcW w:w="1010" w:type="dxa"/>
            <w:tcBorders>
              <w:tl2br w:val="nil"/>
              <w:tr2bl w:val="nil"/>
            </w:tcBorders>
            <w:vAlign w:val="center"/>
          </w:tcPr>
          <w:p w14:paraId="32B3E4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FE8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5" w:type="dxa"/>
            <w:tcBorders>
              <w:tl2br w:val="nil"/>
              <w:tr2bl w:val="nil"/>
            </w:tcBorders>
            <w:vAlign w:val="center"/>
          </w:tcPr>
          <w:p w14:paraId="093ADC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706" w:type="dxa"/>
            <w:tcBorders>
              <w:tl2br w:val="nil"/>
              <w:tr2bl w:val="nil"/>
            </w:tcBorders>
            <w:vAlign w:val="center"/>
          </w:tcPr>
          <w:p w14:paraId="040A17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谭雨欢（202009，学术学位硕士，全日制）</w:t>
            </w:r>
          </w:p>
        </w:tc>
        <w:tc>
          <w:tcPr>
            <w:tcW w:w="1134" w:type="dxa"/>
            <w:tcBorders>
              <w:tl2br w:val="nil"/>
              <w:tr2bl w:val="nil"/>
            </w:tcBorders>
            <w:vAlign w:val="center"/>
          </w:tcPr>
          <w:p w14:paraId="4C43676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学科竞赛获奖</w:t>
            </w:r>
          </w:p>
        </w:tc>
        <w:tc>
          <w:tcPr>
            <w:tcW w:w="992" w:type="dxa"/>
            <w:tcBorders>
              <w:tl2br w:val="nil"/>
              <w:tr2bl w:val="nil"/>
            </w:tcBorders>
            <w:vAlign w:val="center"/>
          </w:tcPr>
          <w:p w14:paraId="565A8B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202210</w:t>
            </w:r>
          </w:p>
        </w:tc>
        <w:tc>
          <w:tcPr>
            <w:tcW w:w="3024" w:type="dxa"/>
            <w:tcBorders>
              <w:tl2br w:val="nil"/>
              <w:tr2bl w:val="nil"/>
            </w:tcBorders>
            <w:vAlign w:val="center"/>
          </w:tcPr>
          <w:p w14:paraId="560F8F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第一届东放明杯模拟立法大赛优秀奖</w:t>
            </w:r>
          </w:p>
        </w:tc>
        <w:tc>
          <w:tcPr>
            <w:tcW w:w="1010" w:type="dxa"/>
            <w:tcBorders>
              <w:tl2br w:val="nil"/>
              <w:tr2bl w:val="nil"/>
            </w:tcBorders>
            <w:vAlign w:val="center"/>
          </w:tcPr>
          <w:p w14:paraId="379122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FB6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dxa"/>
            <w:tcBorders>
              <w:tl2br w:val="nil"/>
              <w:tr2bl w:val="nil"/>
            </w:tcBorders>
            <w:vAlign w:val="center"/>
          </w:tcPr>
          <w:p w14:paraId="6F04F0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706" w:type="dxa"/>
            <w:tcBorders>
              <w:tl2br w:val="nil"/>
              <w:tr2bl w:val="nil"/>
            </w:tcBorders>
            <w:vAlign w:val="center"/>
          </w:tcPr>
          <w:p w14:paraId="049D65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刘宇琪（202009，学术学位硕士，全日制）</w:t>
            </w:r>
          </w:p>
        </w:tc>
        <w:tc>
          <w:tcPr>
            <w:tcW w:w="1134" w:type="dxa"/>
            <w:tcBorders>
              <w:tl2br w:val="nil"/>
              <w:tr2bl w:val="nil"/>
            </w:tcBorders>
            <w:vAlign w:val="center"/>
          </w:tcPr>
          <w:p w14:paraId="41A881B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学科竞赛获奖</w:t>
            </w:r>
          </w:p>
        </w:tc>
        <w:tc>
          <w:tcPr>
            <w:tcW w:w="992" w:type="dxa"/>
            <w:tcBorders>
              <w:tl2br w:val="nil"/>
              <w:tr2bl w:val="nil"/>
            </w:tcBorders>
            <w:vAlign w:val="center"/>
          </w:tcPr>
          <w:p w14:paraId="29EAD3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202210</w:t>
            </w:r>
          </w:p>
        </w:tc>
        <w:tc>
          <w:tcPr>
            <w:tcW w:w="3024" w:type="dxa"/>
            <w:tcBorders>
              <w:tl2br w:val="nil"/>
              <w:tr2bl w:val="nil"/>
            </w:tcBorders>
            <w:vAlign w:val="center"/>
          </w:tcPr>
          <w:p w14:paraId="14FACA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第一届东放明杯模拟立法大赛优秀奖</w:t>
            </w:r>
          </w:p>
        </w:tc>
        <w:tc>
          <w:tcPr>
            <w:tcW w:w="1010" w:type="dxa"/>
            <w:tcBorders>
              <w:tl2br w:val="nil"/>
              <w:tr2bl w:val="nil"/>
            </w:tcBorders>
            <w:vAlign w:val="center"/>
          </w:tcPr>
          <w:p w14:paraId="5C25DC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36FC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5" w:type="dxa"/>
            <w:vMerge w:val="restart"/>
            <w:tcBorders>
              <w:tl2br w:val="nil"/>
              <w:tr2bl w:val="nil"/>
            </w:tcBorders>
            <w:vAlign w:val="center"/>
          </w:tcPr>
          <w:p w14:paraId="473F8B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1706" w:type="dxa"/>
            <w:vMerge w:val="restart"/>
            <w:tcBorders>
              <w:tl2br w:val="nil"/>
              <w:tr2bl w:val="nil"/>
            </w:tcBorders>
            <w:vAlign w:val="center"/>
          </w:tcPr>
          <w:p w14:paraId="0021A1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聂宇轩（202009，学术学位硕士，全日制）</w:t>
            </w:r>
          </w:p>
        </w:tc>
        <w:tc>
          <w:tcPr>
            <w:tcW w:w="1134" w:type="dxa"/>
            <w:vMerge w:val="restart"/>
            <w:tcBorders>
              <w:tl2br w:val="nil"/>
              <w:tr2bl w:val="nil"/>
            </w:tcBorders>
            <w:vAlign w:val="center"/>
          </w:tcPr>
          <w:p w14:paraId="25EA16C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学科竞赛获奖</w:t>
            </w:r>
          </w:p>
        </w:tc>
        <w:tc>
          <w:tcPr>
            <w:tcW w:w="992" w:type="dxa"/>
            <w:vMerge w:val="restart"/>
            <w:tcBorders>
              <w:tl2br w:val="nil"/>
              <w:tr2bl w:val="nil"/>
            </w:tcBorders>
            <w:vAlign w:val="center"/>
          </w:tcPr>
          <w:p w14:paraId="5F5D35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202210</w:t>
            </w:r>
          </w:p>
        </w:tc>
        <w:tc>
          <w:tcPr>
            <w:tcW w:w="3024" w:type="dxa"/>
            <w:tcBorders>
              <w:tl2br w:val="nil"/>
              <w:tr2bl w:val="nil"/>
            </w:tcBorders>
            <w:vAlign w:val="center"/>
          </w:tcPr>
          <w:p w14:paraId="432138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第一届东放明杯模拟立法大赛优秀奖</w:t>
            </w:r>
          </w:p>
        </w:tc>
        <w:tc>
          <w:tcPr>
            <w:tcW w:w="1010" w:type="dxa"/>
            <w:vMerge w:val="restart"/>
            <w:tcBorders>
              <w:tl2br w:val="nil"/>
              <w:tr2bl w:val="nil"/>
            </w:tcBorders>
            <w:vAlign w:val="center"/>
          </w:tcPr>
          <w:p w14:paraId="094E42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EB1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5" w:type="dxa"/>
            <w:vMerge w:val="continue"/>
            <w:tcBorders>
              <w:tl2br w:val="nil"/>
              <w:tr2bl w:val="nil"/>
            </w:tcBorders>
            <w:vAlign w:val="center"/>
          </w:tcPr>
          <w:p w14:paraId="6EBAE5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706" w:type="dxa"/>
            <w:vMerge w:val="continue"/>
            <w:tcBorders>
              <w:tl2br w:val="nil"/>
              <w:tr2bl w:val="nil"/>
            </w:tcBorders>
            <w:vAlign w:val="center"/>
          </w:tcPr>
          <w:p w14:paraId="16306D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134" w:type="dxa"/>
            <w:vMerge w:val="continue"/>
            <w:tcBorders>
              <w:tl2br w:val="nil"/>
              <w:tr2bl w:val="nil"/>
            </w:tcBorders>
            <w:vAlign w:val="center"/>
          </w:tcPr>
          <w:p w14:paraId="53A7CD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92" w:type="dxa"/>
            <w:vMerge w:val="continue"/>
            <w:tcBorders>
              <w:tl2br w:val="nil"/>
              <w:tr2bl w:val="nil"/>
            </w:tcBorders>
            <w:vAlign w:val="center"/>
          </w:tcPr>
          <w:p w14:paraId="326724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3024" w:type="dxa"/>
            <w:tcBorders>
              <w:tl2br w:val="nil"/>
              <w:tr2bl w:val="nil"/>
            </w:tcBorders>
            <w:vAlign w:val="center"/>
          </w:tcPr>
          <w:p w14:paraId="79D33B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第八届中国国际“互联网+”创新创业大赛 校级立项</w:t>
            </w:r>
          </w:p>
        </w:tc>
        <w:tc>
          <w:tcPr>
            <w:tcW w:w="1010" w:type="dxa"/>
            <w:vMerge w:val="continue"/>
            <w:tcBorders>
              <w:tl2br w:val="nil"/>
              <w:tr2bl w:val="nil"/>
            </w:tcBorders>
            <w:vAlign w:val="center"/>
          </w:tcPr>
          <w:p w14:paraId="4B2100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r w14:paraId="770F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5" w:type="dxa"/>
            <w:tcBorders>
              <w:tl2br w:val="nil"/>
              <w:tr2bl w:val="nil"/>
            </w:tcBorders>
            <w:vAlign w:val="center"/>
          </w:tcPr>
          <w:p w14:paraId="073BDF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1706" w:type="dxa"/>
            <w:tcBorders>
              <w:tl2br w:val="nil"/>
              <w:tr2bl w:val="nil"/>
            </w:tcBorders>
            <w:vAlign w:val="center"/>
          </w:tcPr>
          <w:p w14:paraId="736008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陈文静（202009，学术学位硕士，全日制）</w:t>
            </w:r>
          </w:p>
        </w:tc>
        <w:tc>
          <w:tcPr>
            <w:tcW w:w="1134" w:type="dxa"/>
            <w:tcBorders>
              <w:tl2br w:val="nil"/>
              <w:tr2bl w:val="nil"/>
            </w:tcBorders>
            <w:vAlign w:val="center"/>
          </w:tcPr>
          <w:p w14:paraId="454C2E5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会议论文获奖</w:t>
            </w:r>
          </w:p>
        </w:tc>
        <w:tc>
          <w:tcPr>
            <w:tcW w:w="992" w:type="dxa"/>
            <w:tcBorders>
              <w:tl2br w:val="nil"/>
              <w:tr2bl w:val="nil"/>
            </w:tcBorders>
            <w:vAlign w:val="center"/>
          </w:tcPr>
          <w:p w14:paraId="6FFE81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202206</w:t>
            </w:r>
          </w:p>
        </w:tc>
        <w:tc>
          <w:tcPr>
            <w:tcW w:w="3024" w:type="dxa"/>
            <w:tcBorders>
              <w:tl2br w:val="nil"/>
              <w:tr2bl w:val="nil"/>
            </w:tcBorders>
            <w:vAlign w:val="center"/>
          </w:tcPr>
          <w:p w14:paraId="1A310C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2022年湖南省土地学会学术年会优秀论文三等奖</w:t>
            </w:r>
          </w:p>
        </w:tc>
        <w:tc>
          <w:tcPr>
            <w:tcW w:w="1010" w:type="dxa"/>
            <w:tcBorders>
              <w:tl2br w:val="nil"/>
              <w:tr2bl w:val="nil"/>
            </w:tcBorders>
            <w:vAlign w:val="center"/>
          </w:tcPr>
          <w:p w14:paraId="6E687D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5474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5" w:type="dxa"/>
            <w:tcBorders>
              <w:tl2br w:val="nil"/>
              <w:tr2bl w:val="nil"/>
            </w:tcBorders>
            <w:vAlign w:val="center"/>
          </w:tcPr>
          <w:p w14:paraId="1106D9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1706" w:type="dxa"/>
            <w:tcBorders>
              <w:tl2br w:val="nil"/>
              <w:tr2bl w:val="nil"/>
            </w:tcBorders>
            <w:vAlign w:val="center"/>
          </w:tcPr>
          <w:p w14:paraId="343F91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范宇超（202109，学术学位硕士，全日制）</w:t>
            </w:r>
          </w:p>
        </w:tc>
        <w:tc>
          <w:tcPr>
            <w:tcW w:w="1134" w:type="dxa"/>
            <w:tcBorders>
              <w:tl2br w:val="nil"/>
              <w:tr2bl w:val="nil"/>
            </w:tcBorders>
            <w:vAlign w:val="center"/>
          </w:tcPr>
          <w:p w14:paraId="5464D77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会议论文获奖</w:t>
            </w:r>
          </w:p>
        </w:tc>
        <w:tc>
          <w:tcPr>
            <w:tcW w:w="992" w:type="dxa"/>
            <w:tcBorders>
              <w:tl2br w:val="nil"/>
              <w:tr2bl w:val="nil"/>
            </w:tcBorders>
            <w:vAlign w:val="center"/>
          </w:tcPr>
          <w:p w14:paraId="0B4178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202201</w:t>
            </w:r>
          </w:p>
        </w:tc>
        <w:tc>
          <w:tcPr>
            <w:tcW w:w="3024" w:type="dxa"/>
            <w:tcBorders>
              <w:tl2br w:val="nil"/>
              <w:tr2bl w:val="nil"/>
            </w:tcBorders>
            <w:vAlign w:val="center"/>
          </w:tcPr>
          <w:p w14:paraId="495010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湖南省法学会应用法学研究会优胜奖</w:t>
            </w:r>
          </w:p>
        </w:tc>
        <w:tc>
          <w:tcPr>
            <w:tcW w:w="1010" w:type="dxa"/>
            <w:tcBorders>
              <w:tl2br w:val="nil"/>
              <w:tr2bl w:val="nil"/>
            </w:tcBorders>
            <w:vAlign w:val="center"/>
          </w:tcPr>
          <w:p w14:paraId="2094D1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21D2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5" w:type="dxa"/>
            <w:tcBorders>
              <w:tl2br w:val="nil"/>
              <w:tr2bl w:val="nil"/>
            </w:tcBorders>
            <w:vAlign w:val="center"/>
          </w:tcPr>
          <w:p w14:paraId="2C92A1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1706" w:type="dxa"/>
            <w:tcBorders>
              <w:tl2br w:val="nil"/>
              <w:tr2bl w:val="nil"/>
            </w:tcBorders>
            <w:vAlign w:val="center"/>
          </w:tcPr>
          <w:p w14:paraId="1EB27F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刘志聪（202109，学术学位硕士，全日制）</w:t>
            </w:r>
          </w:p>
        </w:tc>
        <w:tc>
          <w:tcPr>
            <w:tcW w:w="1134" w:type="dxa"/>
            <w:tcBorders>
              <w:tl2br w:val="nil"/>
              <w:tr2bl w:val="nil"/>
            </w:tcBorders>
            <w:vAlign w:val="center"/>
          </w:tcPr>
          <w:p w14:paraId="4CA53D8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会议论文获奖</w:t>
            </w:r>
          </w:p>
        </w:tc>
        <w:tc>
          <w:tcPr>
            <w:tcW w:w="992" w:type="dxa"/>
            <w:tcBorders>
              <w:tl2br w:val="nil"/>
              <w:tr2bl w:val="nil"/>
            </w:tcBorders>
            <w:vAlign w:val="center"/>
          </w:tcPr>
          <w:p w14:paraId="717D4C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202201</w:t>
            </w:r>
          </w:p>
        </w:tc>
        <w:tc>
          <w:tcPr>
            <w:tcW w:w="3024" w:type="dxa"/>
            <w:tcBorders>
              <w:tl2br w:val="nil"/>
              <w:tr2bl w:val="nil"/>
            </w:tcBorders>
            <w:vAlign w:val="center"/>
          </w:tcPr>
          <w:p w14:paraId="1ADCEB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湖南省法学会应用法学研究会三</w:t>
            </w:r>
            <w:r>
              <w:rPr>
                <w:rFonts w:hint="eastAsia" w:ascii="Times New Roman" w:hAnsi="Times New Roman" w:cs="Times New Roman" w:eastAsiaTheme="majorEastAsia"/>
                <w:bCs/>
                <w:color w:val="auto"/>
                <w:sz w:val="21"/>
                <w:szCs w:val="21"/>
                <w:lang w:val="en-US" w:eastAsia="zh-CN"/>
              </w:rPr>
              <w:t>等</w:t>
            </w:r>
            <w:r>
              <w:rPr>
                <w:rFonts w:hint="default" w:ascii="Times New Roman" w:hAnsi="Times New Roman" w:cs="Times New Roman" w:eastAsiaTheme="majorEastAsia"/>
                <w:bCs/>
                <w:color w:val="auto"/>
                <w:sz w:val="21"/>
                <w:szCs w:val="21"/>
                <w:lang w:val="en-US" w:eastAsia="zh-CN"/>
              </w:rPr>
              <w:t>奖</w:t>
            </w:r>
          </w:p>
        </w:tc>
        <w:tc>
          <w:tcPr>
            <w:tcW w:w="1010" w:type="dxa"/>
            <w:tcBorders>
              <w:tl2br w:val="nil"/>
              <w:tr2bl w:val="nil"/>
            </w:tcBorders>
            <w:vAlign w:val="center"/>
          </w:tcPr>
          <w:p w14:paraId="062951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3839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95" w:type="dxa"/>
            <w:tcBorders>
              <w:tl2br w:val="nil"/>
              <w:tr2bl w:val="nil"/>
            </w:tcBorders>
            <w:vAlign w:val="center"/>
          </w:tcPr>
          <w:p w14:paraId="7CF98D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1706" w:type="dxa"/>
            <w:tcBorders>
              <w:tl2br w:val="nil"/>
              <w:tr2bl w:val="nil"/>
            </w:tcBorders>
            <w:vAlign w:val="center"/>
          </w:tcPr>
          <w:p w14:paraId="26D73C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周春明（202109，学术学位硕士，全日制）</w:t>
            </w:r>
          </w:p>
        </w:tc>
        <w:tc>
          <w:tcPr>
            <w:tcW w:w="1134" w:type="dxa"/>
            <w:tcBorders>
              <w:tl2br w:val="nil"/>
              <w:tr2bl w:val="nil"/>
            </w:tcBorders>
            <w:vAlign w:val="center"/>
          </w:tcPr>
          <w:p w14:paraId="154F643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会议论文获奖</w:t>
            </w:r>
          </w:p>
        </w:tc>
        <w:tc>
          <w:tcPr>
            <w:tcW w:w="992" w:type="dxa"/>
            <w:tcBorders>
              <w:tl2br w:val="nil"/>
              <w:tr2bl w:val="nil"/>
            </w:tcBorders>
            <w:vAlign w:val="center"/>
          </w:tcPr>
          <w:p w14:paraId="3BB3FF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202201</w:t>
            </w:r>
          </w:p>
        </w:tc>
        <w:tc>
          <w:tcPr>
            <w:tcW w:w="3024" w:type="dxa"/>
            <w:tcBorders>
              <w:tl2br w:val="nil"/>
              <w:tr2bl w:val="nil"/>
            </w:tcBorders>
            <w:vAlign w:val="center"/>
          </w:tcPr>
          <w:p w14:paraId="7CFA98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湖南省法学会应用法学研究会优胜奖</w:t>
            </w:r>
          </w:p>
        </w:tc>
        <w:tc>
          <w:tcPr>
            <w:tcW w:w="1010" w:type="dxa"/>
            <w:tcBorders>
              <w:tl2br w:val="nil"/>
              <w:tr2bl w:val="nil"/>
            </w:tcBorders>
            <w:vAlign w:val="center"/>
          </w:tcPr>
          <w:p w14:paraId="01C302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bl>
    <w:p w14:paraId="05AC806E">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STFangsong" w:cs="Times New Roman"/>
          <w:color w:val="auto"/>
          <w:kern w:val="2"/>
          <w:szCs w:val="21"/>
          <w:lang w:val="en-US" w:eastAsia="zh-CN" w:bidi="ar-SA"/>
        </w:rPr>
      </w:pPr>
    </w:p>
    <w:p w14:paraId="7E6338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000000"/>
          <w:kern w:val="2"/>
          <w:szCs w:val="21"/>
          <w:lang w:val="en-US" w:eastAsia="zh-CN" w:bidi="ar-SA"/>
        </w:rPr>
      </w:pPr>
      <w:r>
        <w:rPr>
          <w:rFonts w:hint="default" w:ascii="Times New Roman" w:hAnsi="Times New Roman" w:cs="Times New Roman" w:eastAsiaTheme="majorEastAsia"/>
          <w:b/>
          <w:i w:val="0"/>
          <w:iCs w:val="0"/>
          <w:color w:val="000000"/>
          <w:kern w:val="2"/>
          <w:szCs w:val="21"/>
          <w:lang w:val="en-US" w:eastAsia="zh-CN" w:bidi="ar-SA"/>
        </w:rPr>
        <w:t>表3  学生参加国内学术会议情况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79"/>
        <w:gridCol w:w="856"/>
        <w:gridCol w:w="1921"/>
        <w:gridCol w:w="662"/>
        <w:gridCol w:w="812"/>
        <w:gridCol w:w="1115"/>
        <w:gridCol w:w="1733"/>
      </w:tblGrid>
      <w:tr w14:paraId="79EA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1421B49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779" w:type="dxa"/>
            <w:vAlign w:val="center"/>
          </w:tcPr>
          <w:p w14:paraId="193140A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学生姓名</w:t>
            </w:r>
          </w:p>
        </w:tc>
        <w:tc>
          <w:tcPr>
            <w:tcW w:w="856" w:type="dxa"/>
            <w:vAlign w:val="center"/>
          </w:tcPr>
          <w:p w14:paraId="5052F51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层次（博士/硕士）</w:t>
            </w:r>
          </w:p>
        </w:tc>
        <w:tc>
          <w:tcPr>
            <w:tcW w:w="1921" w:type="dxa"/>
            <w:vAlign w:val="center"/>
          </w:tcPr>
          <w:p w14:paraId="14D597D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662" w:type="dxa"/>
            <w:vAlign w:val="center"/>
          </w:tcPr>
          <w:p w14:paraId="18BCCC4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812" w:type="dxa"/>
            <w:vAlign w:val="center"/>
          </w:tcPr>
          <w:p w14:paraId="242FFC1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115" w:type="dxa"/>
            <w:vAlign w:val="center"/>
          </w:tcPr>
          <w:p w14:paraId="634A975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733" w:type="dxa"/>
            <w:vAlign w:val="center"/>
          </w:tcPr>
          <w:p w14:paraId="1C60978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报告名称及形式</w:t>
            </w:r>
          </w:p>
        </w:tc>
      </w:tr>
      <w:tr w14:paraId="79C7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Merge w:val="restart"/>
            <w:vAlign w:val="center"/>
          </w:tcPr>
          <w:p w14:paraId="38710A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779" w:type="dxa"/>
            <w:vMerge w:val="restart"/>
            <w:vAlign w:val="center"/>
          </w:tcPr>
          <w:p w14:paraId="0E8A0D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张莹</w:t>
            </w:r>
          </w:p>
        </w:tc>
        <w:tc>
          <w:tcPr>
            <w:tcW w:w="856" w:type="dxa"/>
            <w:vMerge w:val="restart"/>
            <w:vAlign w:val="center"/>
          </w:tcPr>
          <w:p w14:paraId="2C9994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21" w:type="dxa"/>
            <w:vAlign w:val="center"/>
          </w:tcPr>
          <w:p w14:paraId="76CFB8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中国法学会警察法学研究会</w:t>
            </w:r>
          </w:p>
        </w:tc>
        <w:tc>
          <w:tcPr>
            <w:tcW w:w="662" w:type="dxa"/>
            <w:vAlign w:val="center"/>
          </w:tcPr>
          <w:p w14:paraId="42C66D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12" w:type="dxa"/>
            <w:vAlign w:val="center"/>
          </w:tcPr>
          <w:p w14:paraId="636D44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四川成都（线上）</w:t>
            </w:r>
          </w:p>
        </w:tc>
        <w:tc>
          <w:tcPr>
            <w:tcW w:w="1115" w:type="dxa"/>
            <w:vAlign w:val="center"/>
          </w:tcPr>
          <w:p w14:paraId="21D39B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20221210</w:t>
            </w:r>
          </w:p>
        </w:tc>
        <w:tc>
          <w:tcPr>
            <w:tcW w:w="1733" w:type="dxa"/>
            <w:vAlign w:val="center"/>
          </w:tcPr>
          <w:p w14:paraId="4DA9D2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《警察行政处罚裁量权的限制》</w:t>
            </w:r>
          </w:p>
        </w:tc>
      </w:tr>
      <w:tr w14:paraId="0845F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Merge w:val="continue"/>
            <w:vAlign w:val="center"/>
          </w:tcPr>
          <w:p w14:paraId="222804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779" w:type="dxa"/>
            <w:vMerge w:val="continue"/>
            <w:vAlign w:val="center"/>
          </w:tcPr>
          <w:p w14:paraId="0433F5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56" w:type="dxa"/>
            <w:vMerge w:val="continue"/>
            <w:vAlign w:val="center"/>
          </w:tcPr>
          <w:p w14:paraId="3FA36B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921" w:type="dxa"/>
            <w:vAlign w:val="center"/>
          </w:tcPr>
          <w:p w14:paraId="6ECB64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第七届法治中国湘江论坛</w:t>
            </w:r>
          </w:p>
        </w:tc>
        <w:tc>
          <w:tcPr>
            <w:tcW w:w="662" w:type="dxa"/>
            <w:vAlign w:val="center"/>
          </w:tcPr>
          <w:p w14:paraId="066FBC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12" w:type="dxa"/>
            <w:vAlign w:val="center"/>
          </w:tcPr>
          <w:p w14:paraId="12A22A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15" w:type="dxa"/>
            <w:vAlign w:val="center"/>
          </w:tcPr>
          <w:p w14:paraId="1D9E13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20220110</w:t>
            </w:r>
          </w:p>
        </w:tc>
        <w:tc>
          <w:tcPr>
            <w:tcW w:w="1733" w:type="dxa"/>
            <w:vAlign w:val="center"/>
          </w:tcPr>
          <w:p w14:paraId="181ECB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《政府官员直播带货的理论反思》</w:t>
            </w:r>
          </w:p>
        </w:tc>
      </w:tr>
      <w:tr w14:paraId="7C8A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603E46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779" w:type="dxa"/>
            <w:vAlign w:val="center"/>
          </w:tcPr>
          <w:p w14:paraId="6CD110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张倩</w:t>
            </w:r>
          </w:p>
        </w:tc>
        <w:tc>
          <w:tcPr>
            <w:tcW w:w="856" w:type="dxa"/>
            <w:vAlign w:val="center"/>
          </w:tcPr>
          <w:p w14:paraId="505E4B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21" w:type="dxa"/>
            <w:vAlign w:val="center"/>
          </w:tcPr>
          <w:p w14:paraId="4BCC78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第八届法治社会•长江（国际）论坛</w:t>
            </w:r>
          </w:p>
        </w:tc>
        <w:tc>
          <w:tcPr>
            <w:tcW w:w="662" w:type="dxa"/>
            <w:vAlign w:val="center"/>
          </w:tcPr>
          <w:p w14:paraId="4F41E5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812" w:type="dxa"/>
            <w:vAlign w:val="center"/>
          </w:tcPr>
          <w:p w14:paraId="546563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湖北武汉</w:t>
            </w:r>
          </w:p>
        </w:tc>
        <w:tc>
          <w:tcPr>
            <w:tcW w:w="1115" w:type="dxa"/>
            <w:vAlign w:val="center"/>
          </w:tcPr>
          <w:p w14:paraId="37748B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20220619</w:t>
            </w:r>
          </w:p>
        </w:tc>
        <w:tc>
          <w:tcPr>
            <w:tcW w:w="1733" w:type="dxa"/>
            <w:vAlign w:val="center"/>
          </w:tcPr>
          <w:p w14:paraId="3C9D60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《政府治理视阈下的法治化营商环境建设》</w:t>
            </w:r>
          </w:p>
        </w:tc>
      </w:tr>
      <w:tr w14:paraId="08DC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57EEF5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779" w:type="dxa"/>
            <w:vAlign w:val="center"/>
          </w:tcPr>
          <w:p w14:paraId="2D03BC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丁颖赶超</w:t>
            </w:r>
          </w:p>
        </w:tc>
        <w:tc>
          <w:tcPr>
            <w:tcW w:w="856" w:type="dxa"/>
            <w:vAlign w:val="center"/>
          </w:tcPr>
          <w:p w14:paraId="45199B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21" w:type="dxa"/>
            <w:vAlign w:val="center"/>
          </w:tcPr>
          <w:p w14:paraId="3BE173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湖南、湖北法学会环境资源法学研究会</w:t>
            </w:r>
          </w:p>
        </w:tc>
        <w:tc>
          <w:tcPr>
            <w:tcW w:w="662" w:type="dxa"/>
            <w:vAlign w:val="center"/>
          </w:tcPr>
          <w:p w14:paraId="2A6631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12" w:type="dxa"/>
            <w:vAlign w:val="center"/>
          </w:tcPr>
          <w:p w14:paraId="50655A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115" w:type="dxa"/>
            <w:vAlign w:val="center"/>
          </w:tcPr>
          <w:p w14:paraId="05E5B6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20221129</w:t>
            </w:r>
          </w:p>
        </w:tc>
        <w:tc>
          <w:tcPr>
            <w:tcW w:w="1733" w:type="dxa"/>
            <w:vAlign w:val="center"/>
          </w:tcPr>
          <w:p w14:paraId="7F36C5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《“双碳”背景下碳排放权交易与碳税的协同治理》</w:t>
            </w:r>
          </w:p>
        </w:tc>
      </w:tr>
      <w:tr w14:paraId="1914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41393A8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779" w:type="dxa"/>
            <w:vAlign w:val="center"/>
          </w:tcPr>
          <w:p w14:paraId="44D75D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王艺淇</w:t>
            </w:r>
          </w:p>
        </w:tc>
        <w:tc>
          <w:tcPr>
            <w:tcW w:w="856" w:type="dxa"/>
            <w:vAlign w:val="center"/>
          </w:tcPr>
          <w:p w14:paraId="340419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21" w:type="dxa"/>
            <w:vAlign w:val="center"/>
          </w:tcPr>
          <w:p w14:paraId="242429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湖南省法学会宪法学研究会</w:t>
            </w:r>
          </w:p>
        </w:tc>
        <w:tc>
          <w:tcPr>
            <w:tcW w:w="662" w:type="dxa"/>
            <w:vAlign w:val="center"/>
          </w:tcPr>
          <w:p w14:paraId="367978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12" w:type="dxa"/>
            <w:vAlign w:val="center"/>
          </w:tcPr>
          <w:p w14:paraId="36AB82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15" w:type="dxa"/>
            <w:vAlign w:val="center"/>
          </w:tcPr>
          <w:p w14:paraId="14F581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w:t>
            </w:r>
            <w:r>
              <w:rPr>
                <w:rFonts w:hint="eastAsia" w:ascii="Times New Roman" w:hAnsi="Times New Roman" w:cs="Times New Roman" w:eastAsiaTheme="majorEastAsia"/>
                <w:bCs/>
                <w:color w:val="auto"/>
                <w:sz w:val="21"/>
                <w:szCs w:val="21"/>
                <w:lang w:val="en-US" w:eastAsia="zh-CN"/>
              </w:rPr>
              <w:t>2</w:t>
            </w:r>
            <w:r>
              <w:rPr>
                <w:rFonts w:hint="default" w:ascii="Times New Roman" w:hAnsi="Times New Roman" w:cs="Times New Roman" w:eastAsiaTheme="majorEastAsia"/>
                <w:bCs/>
                <w:color w:val="auto"/>
                <w:sz w:val="21"/>
                <w:szCs w:val="21"/>
                <w:lang w:val="en-US" w:eastAsia="zh-CN"/>
              </w:rPr>
              <w:t>0110</w:t>
            </w:r>
          </w:p>
        </w:tc>
        <w:tc>
          <w:tcPr>
            <w:tcW w:w="1733" w:type="dxa"/>
            <w:vAlign w:val="center"/>
          </w:tcPr>
          <w:p w14:paraId="2CD4DA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《习近平法治思想指导下的行政规范性文件备案审查制度研究》</w:t>
            </w:r>
          </w:p>
        </w:tc>
      </w:tr>
      <w:tr w14:paraId="2681D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725056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779" w:type="dxa"/>
            <w:vAlign w:val="center"/>
          </w:tcPr>
          <w:p w14:paraId="22994C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范宇超</w:t>
            </w:r>
          </w:p>
        </w:tc>
        <w:tc>
          <w:tcPr>
            <w:tcW w:w="856" w:type="dxa"/>
            <w:vAlign w:val="center"/>
          </w:tcPr>
          <w:p w14:paraId="011516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21" w:type="dxa"/>
            <w:vAlign w:val="center"/>
          </w:tcPr>
          <w:p w14:paraId="23D518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中国法学会商法学研究会</w:t>
            </w:r>
          </w:p>
        </w:tc>
        <w:tc>
          <w:tcPr>
            <w:tcW w:w="662" w:type="dxa"/>
            <w:vAlign w:val="center"/>
          </w:tcPr>
          <w:p w14:paraId="07E6A9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12" w:type="dxa"/>
            <w:vAlign w:val="center"/>
          </w:tcPr>
          <w:p w14:paraId="4B014A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15" w:type="dxa"/>
            <w:vAlign w:val="center"/>
          </w:tcPr>
          <w:p w14:paraId="6B398B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20221126</w:t>
            </w:r>
          </w:p>
        </w:tc>
        <w:tc>
          <w:tcPr>
            <w:tcW w:w="1733" w:type="dxa"/>
            <w:vAlign w:val="center"/>
          </w:tcPr>
          <w:p w14:paraId="7D14FF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《股权冻结条件下股东被除名后利益冲突解决路径》</w:t>
            </w:r>
          </w:p>
        </w:tc>
      </w:tr>
      <w:tr w14:paraId="113C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6AA10C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779" w:type="dxa"/>
            <w:vAlign w:val="center"/>
          </w:tcPr>
          <w:p w14:paraId="3515FC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王靖</w:t>
            </w:r>
          </w:p>
        </w:tc>
        <w:tc>
          <w:tcPr>
            <w:tcW w:w="856" w:type="dxa"/>
            <w:vAlign w:val="center"/>
          </w:tcPr>
          <w:p w14:paraId="28A9C8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21" w:type="dxa"/>
            <w:vAlign w:val="center"/>
          </w:tcPr>
          <w:p w14:paraId="0C97D0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中国法学会知识产权法学研究会</w:t>
            </w:r>
          </w:p>
        </w:tc>
        <w:tc>
          <w:tcPr>
            <w:tcW w:w="662" w:type="dxa"/>
            <w:vAlign w:val="center"/>
          </w:tcPr>
          <w:p w14:paraId="516F46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12" w:type="dxa"/>
            <w:vAlign w:val="center"/>
          </w:tcPr>
          <w:p w14:paraId="3808C6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15" w:type="dxa"/>
            <w:vAlign w:val="center"/>
          </w:tcPr>
          <w:p w14:paraId="0EC2CF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20221217</w:t>
            </w:r>
          </w:p>
        </w:tc>
        <w:tc>
          <w:tcPr>
            <w:tcW w:w="1733" w:type="dxa"/>
            <w:vAlign w:val="center"/>
          </w:tcPr>
          <w:p w14:paraId="019CE4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《我国地理标志立法保护困境与出路》</w:t>
            </w:r>
          </w:p>
        </w:tc>
      </w:tr>
    </w:tbl>
    <w:p w14:paraId="0321A5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1E553E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表4  学生就业情况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853"/>
        <w:gridCol w:w="854"/>
        <w:gridCol w:w="854"/>
        <w:gridCol w:w="1097"/>
        <w:gridCol w:w="709"/>
        <w:gridCol w:w="710"/>
        <w:gridCol w:w="775"/>
        <w:gridCol w:w="800"/>
        <w:gridCol w:w="1033"/>
      </w:tblGrid>
      <w:tr w14:paraId="384D4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 w:type="dxa"/>
            <w:vMerge w:val="restart"/>
            <w:vAlign w:val="center"/>
          </w:tcPr>
          <w:p w14:paraId="4EA5F21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c>
          <w:tcPr>
            <w:tcW w:w="853" w:type="dxa"/>
            <w:vMerge w:val="restart"/>
            <w:vAlign w:val="center"/>
          </w:tcPr>
          <w:p w14:paraId="19C9C64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32230E7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854" w:type="dxa"/>
            <w:vMerge w:val="restart"/>
            <w:vAlign w:val="center"/>
          </w:tcPr>
          <w:p w14:paraId="5D470DB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毕业生总数</w:t>
            </w:r>
          </w:p>
        </w:tc>
        <w:tc>
          <w:tcPr>
            <w:tcW w:w="854" w:type="dxa"/>
            <w:vMerge w:val="restart"/>
            <w:vAlign w:val="center"/>
          </w:tcPr>
          <w:p w14:paraId="5266DA1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授予学位数</w:t>
            </w:r>
          </w:p>
        </w:tc>
        <w:tc>
          <w:tcPr>
            <w:tcW w:w="4091" w:type="dxa"/>
            <w:gridSpan w:val="5"/>
            <w:vAlign w:val="center"/>
          </w:tcPr>
          <w:p w14:paraId="00BF81E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就业情况</w:t>
            </w:r>
          </w:p>
        </w:tc>
        <w:tc>
          <w:tcPr>
            <w:tcW w:w="1033" w:type="dxa"/>
            <w:vMerge w:val="restart"/>
            <w:vAlign w:val="center"/>
          </w:tcPr>
          <w:p w14:paraId="3666404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p w14:paraId="66E2558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就业人数及就业率</w:t>
            </w:r>
          </w:p>
        </w:tc>
      </w:tr>
      <w:tr w14:paraId="17AA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53" w:type="dxa"/>
            <w:vMerge w:val="continue"/>
            <w:vAlign w:val="center"/>
          </w:tcPr>
          <w:p w14:paraId="5CACEE9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53" w:type="dxa"/>
            <w:vMerge w:val="continue"/>
            <w:vAlign w:val="center"/>
          </w:tcPr>
          <w:p w14:paraId="63F7A4B1">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54" w:type="dxa"/>
            <w:vMerge w:val="continue"/>
            <w:vAlign w:val="center"/>
          </w:tcPr>
          <w:p w14:paraId="237DF952">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54" w:type="dxa"/>
            <w:vMerge w:val="continue"/>
            <w:vAlign w:val="center"/>
          </w:tcPr>
          <w:p w14:paraId="38DAD8B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1097" w:type="dxa"/>
            <w:vMerge w:val="restart"/>
            <w:vAlign w:val="center"/>
          </w:tcPr>
          <w:p w14:paraId="74AA34C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协议和合同就业（含博士后）</w:t>
            </w:r>
          </w:p>
        </w:tc>
        <w:tc>
          <w:tcPr>
            <w:tcW w:w="709" w:type="dxa"/>
            <w:vMerge w:val="restart"/>
            <w:vAlign w:val="center"/>
          </w:tcPr>
          <w:p w14:paraId="11DBC84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自主创业</w:t>
            </w:r>
          </w:p>
        </w:tc>
        <w:tc>
          <w:tcPr>
            <w:tcW w:w="710" w:type="dxa"/>
            <w:vMerge w:val="restart"/>
            <w:vAlign w:val="center"/>
          </w:tcPr>
          <w:p w14:paraId="1146DDB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灵活就业</w:t>
            </w:r>
          </w:p>
        </w:tc>
        <w:tc>
          <w:tcPr>
            <w:tcW w:w="1575" w:type="dxa"/>
            <w:gridSpan w:val="2"/>
            <w:vAlign w:val="center"/>
          </w:tcPr>
          <w:p w14:paraId="4008F90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升学</w:t>
            </w:r>
          </w:p>
        </w:tc>
        <w:tc>
          <w:tcPr>
            <w:tcW w:w="1033" w:type="dxa"/>
            <w:vMerge w:val="continue"/>
            <w:vAlign w:val="center"/>
          </w:tcPr>
          <w:p w14:paraId="67F47DFB">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default" w:ascii="Times New Roman" w:hAnsi="Times New Roman" w:eastAsia="STFangsong" w:cs="Times New Roman"/>
                <w:b/>
                <w:bCs/>
                <w:color w:val="auto"/>
                <w:kern w:val="0"/>
                <w:szCs w:val="21"/>
                <w:lang w:val="en-US" w:eastAsia="zh-CN" w:bidi="ar-SA"/>
              </w:rPr>
            </w:pPr>
          </w:p>
        </w:tc>
      </w:tr>
      <w:tr w14:paraId="60E8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853" w:type="dxa"/>
            <w:vMerge w:val="continue"/>
            <w:vAlign w:val="center"/>
          </w:tcPr>
          <w:p w14:paraId="5B388A2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53" w:type="dxa"/>
            <w:vMerge w:val="continue"/>
            <w:vAlign w:val="center"/>
          </w:tcPr>
          <w:p w14:paraId="7595E22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54" w:type="dxa"/>
            <w:vMerge w:val="continue"/>
            <w:vAlign w:val="center"/>
          </w:tcPr>
          <w:p w14:paraId="0847037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54" w:type="dxa"/>
            <w:vMerge w:val="continue"/>
            <w:vAlign w:val="center"/>
          </w:tcPr>
          <w:p w14:paraId="0B7C0A43">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1097" w:type="dxa"/>
            <w:vMerge w:val="continue"/>
            <w:vAlign w:val="center"/>
          </w:tcPr>
          <w:p w14:paraId="38749C3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709" w:type="dxa"/>
            <w:vMerge w:val="continue"/>
            <w:vAlign w:val="center"/>
          </w:tcPr>
          <w:p w14:paraId="67AD55A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710" w:type="dxa"/>
            <w:vMerge w:val="continue"/>
            <w:vAlign w:val="center"/>
          </w:tcPr>
          <w:p w14:paraId="1CCBE1B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775" w:type="dxa"/>
            <w:vAlign w:val="center"/>
          </w:tcPr>
          <w:p w14:paraId="3901DC2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境内</w:t>
            </w:r>
          </w:p>
        </w:tc>
        <w:tc>
          <w:tcPr>
            <w:tcW w:w="800" w:type="dxa"/>
            <w:vAlign w:val="center"/>
          </w:tcPr>
          <w:p w14:paraId="294B65F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境外</w:t>
            </w:r>
          </w:p>
        </w:tc>
        <w:tc>
          <w:tcPr>
            <w:tcW w:w="1033" w:type="dxa"/>
            <w:vMerge w:val="continue"/>
            <w:vAlign w:val="center"/>
          </w:tcPr>
          <w:p w14:paraId="25AD9762">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default" w:ascii="Times New Roman" w:hAnsi="Times New Roman" w:eastAsia="STFangsong" w:cs="Times New Roman"/>
                <w:b/>
                <w:bCs/>
                <w:color w:val="auto"/>
                <w:kern w:val="0"/>
                <w:szCs w:val="21"/>
                <w:lang w:val="en-US" w:eastAsia="zh-CN" w:bidi="ar-SA"/>
              </w:rPr>
            </w:pPr>
          </w:p>
        </w:tc>
      </w:tr>
      <w:tr w14:paraId="123A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 w:type="dxa"/>
            <w:vMerge w:val="restart"/>
            <w:vAlign w:val="center"/>
          </w:tcPr>
          <w:p w14:paraId="120288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c>
          <w:tcPr>
            <w:tcW w:w="853" w:type="dxa"/>
            <w:vAlign w:val="center"/>
          </w:tcPr>
          <w:p w14:paraId="274F93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854" w:type="dxa"/>
            <w:vAlign w:val="center"/>
          </w:tcPr>
          <w:p w14:paraId="59E898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854" w:type="dxa"/>
            <w:vAlign w:val="center"/>
          </w:tcPr>
          <w:p w14:paraId="0C9ABA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1097" w:type="dxa"/>
            <w:vAlign w:val="center"/>
          </w:tcPr>
          <w:p w14:paraId="7DA561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709" w:type="dxa"/>
            <w:vAlign w:val="center"/>
          </w:tcPr>
          <w:p w14:paraId="2E1515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710" w:type="dxa"/>
            <w:vAlign w:val="center"/>
          </w:tcPr>
          <w:p w14:paraId="7ADF7E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775" w:type="dxa"/>
            <w:vAlign w:val="center"/>
          </w:tcPr>
          <w:p w14:paraId="7FA524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800" w:type="dxa"/>
            <w:vAlign w:val="center"/>
          </w:tcPr>
          <w:p w14:paraId="46BF5E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1033" w:type="dxa"/>
            <w:vAlign w:val="center"/>
          </w:tcPr>
          <w:p w14:paraId="79007E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r>
              <w:rPr>
                <w:rFonts w:hint="eastAsia"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lang w:val="en-US" w:eastAsia="zh-CN"/>
              </w:rPr>
              <w:t>100%</w:t>
            </w:r>
          </w:p>
        </w:tc>
      </w:tr>
      <w:tr w14:paraId="335B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 w:type="dxa"/>
            <w:vMerge w:val="continue"/>
            <w:vAlign w:val="center"/>
          </w:tcPr>
          <w:p w14:paraId="0FEBA1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53" w:type="dxa"/>
            <w:vAlign w:val="center"/>
          </w:tcPr>
          <w:p w14:paraId="60B142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博士</w:t>
            </w:r>
          </w:p>
        </w:tc>
        <w:tc>
          <w:tcPr>
            <w:tcW w:w="854" w:type="dxa"/>
            <w:vAlign w:val="center"/>
          </w:tcPr>
          <w:p w14:paraId="3C8D3E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54" w:type="dxa"/>
            <w:vAlign w:val="center"/>
          </w:tcPr>
          <w:p w14:paraId="445A72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097" w:type="dxa"/>
            <w:vAlign w:val="center"/>
          </w:tcPr>
          <w:p w14:paraId="619CBF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709" w:type="dxa"/>
            <w:vAlign w:val="center"/>
          </w:tcPr>
          <w:p w14:paraId="6FE4AF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710" w:type="dxa"/>
            <w:vAlign w:val="center"/>
          </w:tcPr>
          <w:p w14:paraId="6EE70C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775" w:type="dxa"/>
            <w:vAlign w:val="center"/>
          </w:tcPr>
          <w:p w14:paraId="418541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00" w:type="dxa"/>
            <w:vAlign w:val="center"/>
          </w:tcPr>
          <w:p w14:paraId="203388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033" w:type="dxa"/>
            <w:vAlign w:val="center"/>
          </w:tcPr>
          <w:p w14:paraId="272325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bl>
    <w:p w14:paraId="7FF19558">
      <w:pPr>
        <w:rPr>
          <w:rFonts w:hint="default" w:ascii="Times New Roman" w:hAnsi="Times New Roman" w:cs="Times New Roman" w:eastAsiaTheme="minorEastAsia"/>
          <w:b w:val="0"/>
          <w:bCs w:val="0"/>
          <w:i w:val="0"/>
          <w:iCs w:val="0"/>
          <w:color w:val="auto"/>
          <w:kern w:val="2"/>
          <w:sz w:val="24"/>
          <w:szCs w:val="24"/>
          <w:lang w:val="en-US" w:eastAsia="zh-CN" w:bidi="ar-SA"/>
        </w:rPr>
      </w:pPr>
      <w:bookmarkStart w:id="9" w:name="_Toc20901"/>
    </w:p>
    <w:p w14:paraId="17C4F5E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r>
        <w:rPr>
          <w:rFonts w:hint="default" w:ascii="Times New Roman" w:hAnsi="Times New Roman" w:eastAsia="SimHei" w:cs="Times New Roman"/>
          <w:b w:val="0"/>
          <w:bCs w:val="0"/>
          <w:i w:val="0"/>
          <w:iCs w:val="0"/>
          <w:kern w:val="2"/>
          <w:sz w:val="28"/>
          <w:szCs w:val="28"/>
          <w:lang w:val="en-US" w:eastAsia="zh-CN" w:bidi="ar-SA"/>
        </w:rPr>
        <w:t>（二）师资队伍</w:t>
      </w:r>
      <w:bookmarkEnd w:id="9"/>
    </w:p>
    <w:p w14:paraId="64D3E1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通过师德师风建设系列举措，师德师风建设成效明显。</w:t>
      </w:r>
    </w:p>
    <w:p w14:paraId="6A046D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进一步坚定了正确的政治方向，规范了教师从教行为。通过“不忘初心、牢记使命”等一系主题教育活动，引领教师牢固树立中国特色社会主义理想信念，带头践行社会主义核心价值体系，模范遵守宪法、法律法规和职业道德。近五年，没有发生一起违背师德师风的事件，没有教师受到任何党纪政务处分。树立教师先进典型，2022年胡潇潇教授的师德事迹被《潇湘晨报》深度报道，黎敏教授的师德事迹被《红网》深度报道。</w:t>
      </w:r>
    </w:p>
    <w:p w14:paraId="5047E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进一步强化了“育人为本，德育为先，全面发展”的教育理念，增强教师教书育人本领。通过组织教师参加教育部“厚植弘扬师德风尚，做新时代党和人民满意的好老师”网络培训等培训学习，教师业务能力和教育教学质量不断得以提高，在开展的系列实践活动中，将师德师风建设的成果贯穿于实践教学之中，增强了学生实践能力，提高了服务社会水平，育人成效明显。本年度，13门课程认定为校级“放心课程”、2篇教改论文获省级二等奖；</w:t>
      </w:r>
      <w:r>
        <w:rPr>
          <w:rFonts w:hint="default" w:ascii="Times New Roman" w:hAnsi="Times New Roman" w:cs="Times New Roman"/>
          <w:i w:val="0"/>
          <w:iCs w:val="0"/>
          <w:color w:val="auto"/>
          <w:kern w:val="2"/>
          <w:sz w:val="24"/>
          <w:szCs w:val="24"/>
          <w:lang w:val="en-US" w:eastAsia="zh-CN" w:bidi="ar-SA"/>
        </w:rPr>
        <w:t>胡潇潇教授的《知识产权法专题》被评为中南林业科技大学校级研究生课程思政示范课程；</w:t>
      </w:r>
      <w:r>
        <w:rPr>
          <w:rFonts w:hint="default" w:ascii="Times New Roman" w:hAnsi="Times New Roman" w:eastAsia="SimSun" w:cs="Times New Roman"/>
          <w:i w:val="0"/>
          <w:iCs w:val="0"/>
          <w:color w:val="auto"/>
          <w:kern w:val="2"/>
          <w:sz w:val="24"/>
          <w:szCs w:val="24"/>
          <w:lang w:val="en-US" w:eastAsia="zh-CN" w:bidi="ar-SA"/>
        </w:rPr>
        <w:t>1个实习基地获湖南省高校校外优秀实习基地；“庭审进校园”实践教学活动被湖南政法频道、人民网、新湖南等近10家媒体报道，受到社会广泛关注和好评；学科竞赛获“哲寻杯”公共管理案例大赛奖1项、湖南省第八届知识产权竞答赛（决赛）高校组三等奖1项、湖南省大学生英语口语大赛二等奖1项；创新创业项目获国家级立项1项、省级4项、校级1项。2022年积极组织研究生参加第一届全国法学学生“东放明”杯模拟立法大赛和首届“哲寻杯”全国大学生公共管理决策对抗大赛并取得佳绩。积极申报研究生创新基金项目，定期召开研究生读书报告会、学习分享会，通过各种方式广泛开展学术交流和讨论。2022年总计组织学生线上和线下读书会9次。极大提高是师生参与学术交流的热情，培养浓厚的学术氛围。</w:t>
      </w:r>
    </w:p>
    <w:p w14:paraId="2134C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进一步弘扬了师德师风，切实增强师德教育效果。吴献萍等获“优秀共产党员”荣誉称号；黄娟、阳永恒、熊玲君、匡娉婷，胡潇潇、邓艳林荣获“优秀班主任”；王蓉、石凯、蔡卓先后荣获“优秀党务工作者”；有11名党员教师已经成功注册社会扶贫APP会员，全体教师争先多轮次为贫困村、贫困户，困难师生爱心捐款帮扶。</w:t>
      </w:r>
    </w:p>
    <w:p w14:paraId="55EAF2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表5 师德师风建设</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3881"/>
        <w:gridCol w:w="1563"/>
        <w:gridCol w:w="2290"/>
      </w:tblGrid>
      <w:tr w14:paraId="7C32B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04" w:type="dxa"/>
            <w:vAlign w:val="center"/>
          </w:tcPr>
          <w:p w14:paraId="154A651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3881" w:type="dxa"/>
            <w:vAlign w:val="center"/>
          </w:tcPr>
          <w:p w14:paraId="6C26304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荣誉表彰</w:t>
            </w:r>
          </w:p>
        </w:tc>
        <w:tc>
          <w:tcPr>
            <w:tcW w:w="1563" w:type="dxa"/>
            <w:vAlign w:val="center"/>
          </w:tcPr>
          <w:p w14:paraId="3F60DAA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获得者</w:t>
            </w:r>
          </w:p>
        </w:tc>
        <w:tc>
          <w:tcPr>
            <w:tcW w:w="2290" w:type="dxa"/>
            <w:vAlign w:val="center"/>
          </w:tcPr>
          <w:p w14:paraId="53D596E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授予单位</w:t>
            </w:r>
          </w:p>
        </w:tc>
      </w:tr>
      <w:tr w14:paraId="796D6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62F7BB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3881" w:type="dxa"/>
            <w:vAlign w:val="center"/>
          </w:tcPr>
          <w:p w14:paraId="38A9A3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优秀班主任老师</w:t>
            </w:r>
          </w:p>
        </w:tc>
        <w:tc>
          <w:tcPr>
            <w:tcW w:w="1563" w:type="dxa"/>
            <w:vAlign w:val="center"/>
          </w:tcPr>
          <w:p w14:paraId="1FCA45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阳永恒</w:t>
            </w:r>
          </w:p>
        </w:tc>
        <w:tc>
          <w:tcPr>
            <w:tcW w:w="2290" w:type="dxa"/>
            <w:vAlign w:val="center"/>
          </w:tcPr>
          <w:p w14:paraId="20A3FD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4F4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69D955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3881" w:type="dxa"/>
            <w:vAlign w:val="center"/>
          </w:tcPr>
          <w:p w14:paraId="71272A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优秀共产党员</w:t>
            </w:r>
          </w:p>
        </w:tc>
        <w:tc>
          <w:tcPr>
            <w:tcW w:w="1563" w:type="dxa"/>
            <w:vAlign w:val="center"/>
          </w:tcPr>
          <w:p w14:paraId="75043C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阳永恒</w:t>
            </w:r>
          </w:p>
        </w:tc>
        <w:tc>
          <w:tcPr>
            <w:tcW w:w="2290" w:type="dxa"/>
            <w:vAlign w:val="center"/>
          </w:tcPr>
          <w:p w14:paraId="1FE9EB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AF0B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4AC99C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3881" w:type="dxa"/>
            <w:vAlign w:val="center"/>
          </w:tcPr>
          <w:p w14:paraId="186FEE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优秀党务工作者</w:t>
            </w:r>
          </w:p>
        </w:tc>
        <w:tc>
          <w:tcPr>
            <w:tcW w:w="1563" w:type="dxa"/>
            <w:vAlign w:val="center"/>
          </w:tcPr>
          <w:p w14:paraId="3F2A09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石凯</w:t>
            </w:r>
          </w:p>
        </w:tc>
        <w:tc>
          <w:tcPr>
            <w:tcW w:w="2290" w:type="dxa"/>
            <w:vAlign w:val="center"/>
          </w:tcPr>
          <w:p w14:paraId="3B98CA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559F0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7096F5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3881" w:type="dxa"/>
            <w:vAlign w:val="center"/>
          </w:tcPr>
          <w:p w14:paraId="4819EA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63" w:type="dxa"/>
            <w:vAlign w:val="center"/>
          </w:tcPr>
          <w:p w14:paraId="7405E6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熊玲君</w:t>
            </w:r>
          </w:p>
        </w:tc>
        <w:tc>
          <w:tcPr>
            <w:tcW w:w="2290" w:type="dxa"/>
            <w:vAlign w:val="center"/>
          </w:tcPr>
          <w:p w14:paraId="7523E0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758E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2ACC28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3881" w:type="dxa"/>
            <w:vAlign w:val="center"/>
          </w:tcPr>
          <w:p w14:paraId="3ABCF9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63" w:type="dxa"/>
            <w:vAlign w:val="center"/>
          </w:tcPr>
          <w:p w14:paraId="172569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匡娉婷</w:t>
            </w:r>
          </w:p>
        </w:tc>
        <w:tc>
          <w:tcPr>
            <w:tcW w:w="2290" w:type="dxa"/>
            <w:vAlign w:val="center"/>
          </w:tcPr>
          <w:p w14:paraId="3F1188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537F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2DDD69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6</w:t>
            </w:r>
          </w:p>
        </w:tc>
        <w:tc>
          <w:tcPr>
            <w:tcW w:w="3881" w:type="dxa"/>
            <w:vAlign w:val="center"/>
          </w:tcPr>
          <w:p w14:paraId="35B0EB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优秀党务工作者</w:t>
            </w:r>
          </w:p>
        </w:tc>
        <w:tc>
          <w:tcPr>
            <w:tcW w:w="1563" w:type="dxa"/>
            <w:vAlign w:val="center"/>
          </w:tcPr>
          <w:p w14:paraId="78985F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蔡卓</w:t>
            </w:r>
          </w:p>
        </w:tc>
        <w:tc>
          <w:tcPr>
            <w:tcW w:w="2290" w:type="dxa"/>
            <w:vAlign w:val="center"/>
          </w:tcPr>
          <w:p w14:paraId="61528C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02E9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6E30DB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7</w:t>
            </w:r>
          </w:p>
        </w:tc>
        <w:tc>
          <w:tcPr>
            <w:tcW w:w="3881" w:type="dxa"/>
            <w:vAlign w:val="center"/>
          </w:tcPr>
          <w:p w14:paraId="0366EF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63" w:type="dxa"/>
            <w:vAlign w:val="center"/>
          </w:tcPr>
          <w:p w14:paraId="2A8B2A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2290" w:type="dxa"/>
            <w:vAlign w:val="center"/>
          </w:tcPr>
          <w:p w14:paraId="0056A5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6621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14:paraId="530C63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8</w:t>
            </w:r>
          </w:p>
        </w:tc>
        <w:tc>
          <w:tcPr>
            <w:tcW w:w="3881" w:type="dxa"/>
            <w:vAlign w:val="center"/>
          </w:tcPr>
          <w:p w14:paraId="2B1A3E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63" w:type="dxa"/>
            <w:vAlign w:val="center"/>
          </w:tcPr>
          <w:p w14:paraId="0CAD2D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邓艳林</w:t>
            </w:r>
          </w:p>
        </w:tc>
        <w:tc>
          <w:tcPr>
            <w:tcW w:w="2290" w:type="dxa"/>
            <w:vAlign w:val="center"/>
          </w:tcPr>
          <w:p w14:paraId="4D79CA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bl>
    <w:p w14:paraId="59F48F80">
      <w:pPr>
        <w:keepNext w:val="0"/>
        <w:keepLines w:val="0"/>
        <w:pageBreakBefore w:val="0"/>
        <w:widowControl w:val="0"/>
        <w:kinsoku/>
        <w:wordWrap/>
        <w:overflowPunct/>
        <w:topLinePunct w:val="0"/>
        <w:bidi w:val="0"/>
        <w:spacing w:line="360" w:lineRule="exact"/>
        <w:ind w:firstLine="0" w:firstLineChars="0"/>
        <w:textAlignment w:val="auto"/>
        <w:rPr>
          <w:rFonts w:hint="default" w:ascii="Times New Roman" w:hAnsi="Times New Roman" w:eastAsia="STFangsong" w:cs="Times New Roman"/>
          <w:color w:val="auto"/>
          <w:kern w:val="0"/>
          <w:szCs w:val="21"/>
          <w:lang w:val="en-US" w:eastAsia="zh-CN" w:bidi="ar-SA"/>
        </w:rPr>
      </w:pPr>
    </w:p>
    <w:p w14:paraId="7E0B86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表6 师资队伍结构</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2"/>
        <w:gridCol w:w="800"/>
        <w:gridCol w:w="666"/>
        <w:gridCol w:w="707"/>
        <w:gridCol w:w="724"/>
        <w:gridCol w:w="836"/>
        <w:gridCol w:w="887"/>
        <w:gridCol w:w="998"/>
        <w:gridCol w:w="667"/>
        <w:gridCol w:w="668"/>
      </w:tblGrid>
      <w:tr w14:paraId="5D5D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14C5041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专业技术职务</w:t>
            </w:r>
          </w:p>
        </w:tc>
        <w:tc>
          <w:tcPr>
            <w:tcW w:w="727" w:type="dxa"/>
            <w:vAlign w:val="center"/>
          </w:tcPr>
          <w:p w14:paraId="0E75801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合计</w:t>
            </w:r>
          </w:p>
        </w:tc>
        <w:tc>
          <w:tcPr>
            <w:tcW w:w="806" w:type="dxa"/>
            <w:vAlign w:val="center"/>
          </w:tcPr>
          <w:p w14:paraId="6879CF3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35岁</w:t>
            </w:r>
          </w:p>
          <w:p w14:paraId="4DF02D9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及以下</w:t>
            </w:r>
          </w:p>
        </w:tc>
        <w:tc>
          <w:tcPr>
            <w:tcW w:w="671" w:type="dxa"/>
            <w:vAlign w:val="center"/>
          </w:tcPr>
          <w:p w14:paraId="3D6807F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36至</w:t>
            </w:r>
          </w:p>
          <w:p w14:paraId="526AF3A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45岁</w:t>
            </w:r>
          </w:p>
        </w:tc>
        <w:tc>
          <w:tcPr>
            <w:tcW w:w="712" w:type="dxa"/>
            <w:vAlign w:val="center"/>
          </w:tcPr>
          <w:p w14:paraId="15AF19E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46至</w:t>
            </w:r>
          </w:p>
          <w:p w14:paraId="3674713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55岁</w:t>
            </w:r>
          </w:p>
        </w:tc>
        <w:tc>
          <w:tcPr>
            <w:tcW w:w="729" w:type="dxa"/>
            <w:vAlign w:val="center"/>
          </w:tcPr>
          <w:p w14:paraId="370C8FF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56至</w:t>
            </w:r>
          </w:p>
          <w:p w14:paraId="74E054A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60岁</w:t>
            </w:r>
          </w:p>
        </w:tc>
        <w:tc>
          <w:tcPr>
            <w:tcW w:w="842" w:type="dxa"/>
            <w:vAlign w:val="center"/>
          </w:tcPr>
          <w:p w14:paraId="6577078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61岁</w:t>
            </w:r>
          </w:p>
          <w:p w14:paraId="7BD2EAE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及以上</w:t>
            </w:r>
          </w:p>
        </w:tc>
        <w:tc>
          <w:tcPr>
            <w:tcW w:w="894" w:type="dxa"/>
            <w:vAlign w:val="center"/>
          </w:tcPr>
          <w:p w14:paraId="2939555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博士学位人数</w:t>
            </w:r>
          </w:p>
        </w:tc>
        <w:tc>
          <w:tcPr>
            <w:tcW w:w="1006" w:type="dxa"/>
            <w:vAlign w:val="center"/>
          </w:tcPr>
          <w:p w14:paraId="5ED85CC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具有境外经历人数</w:t>
            </w:r>
          </w:p>
        </w:tc>
        <w:tc>
          <w:tcPr>
            <w:tcW w:w="672" w:type="dxa"/>
            <w:vAlign w:val="center"/>
          </w:tcPr>
          <w:p w14:paraId="0322144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博导</w:t>
            </w:r>
          </w:p>
          <w:p w14:paraId="6BE5A55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c>
          <w:tcPr>
            <w:tcW w:w="673" w:type="dxa"/>
            <w:vAlign w:val="center"/>
          </w:tcPr>
          <w:p w14:paraId="4540BAE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硕导</w:t>
            </w:r>
          </w:p>
          <w:p w14:paraId="6DD743D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r>
      <w:tr w14:paraId="2B14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5BBB611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正高级</w:t>
            </w:r>
          </w:p>
        </w:tc>
        <w:tc>
          <w:tcPr>
            <w:tcW w:w="727" w:type="dxa"/>
            <w:vAlign w:val="center"/>
          </w:tcPr>
          <w:p w14:paraId="06295FBD">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9</w:t>
            </w:r>
          </w:p>
        </w:tc>
        <w:tc>
          <w:tcPr>
            <w:tcW w:w="806" w:type="dxa"/>
            <w:vAlign w:val="center"/>
          </w:tcPr>
          <w:p w14:paraId="0D53225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1" w:type="dxa"/>
            <w:vAlign w:val="center"/>
          </w:tcPr>
          <w:p w14:paraId="5ABA40F3">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712" w:type="dxa"/>
            <w:vAlign w:val="center"/>
          </w:tcPr>
          <w:p w14:paraId="4C808C61">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6</w:t>
            </w:r>
          </w:p>
        </w:tc>
        <w:tc>
          <w:tcPr>
            <w:tcW w:w="729" w:type="dxa"/>
            <w:vAlign w:val="center"/>
          </w:tcPr>
          <w:p w14:paraId="5066AD9E">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3</w:t>
            </w:r>
          </w:p>
        </w:tc>
        <w:tc>
          <w:tcPr>
            <w:tcW w:w="842" w:type="dxa"/>
            <w:vAlign w:val="center"/>
          </w:tcPr>
          <w:p w14:paraId="48948BB8">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94" w:type="dxa"/>
            <w:vAlign w:val="center"/>
          </w:tcPr>
          <w:p w14:paraId="571F1038">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4</w:t>
            </w:r>
          </w:p>
        </w:tc>
        <w:tc>
          <w:tcPr>
            <w:tcW w:w="1006" w:type="dxa"/>
            <w:vAlign w:val="center"/>
          </w:tcPr>
          <w:p w14:paraId="45C0432B">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3</w:t>
            </w:r>
          </w:p>
        </w:tc>
        <w:tc>
          <w:tcPr>
            <w:tcW w:w="672" w:type="dxa"/>
            <w:vAlign w:val="center"/>
          </w:tcPr>
          <w:p w14:paraId="7549F324">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w:t>
            </w:r>
          </w:p>
        </w:tc>
        <w:tc>
          <w:tcPr>
            <w:tcW w:w="673" w:type="dxa"/>
            <w:vAlign w:val="center"/>
          </w:tcPr>
          <w:p w14:paraId="55675C9E">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9</w:t>
            </w:r>
          </w:p>
        </w:tc>
      </w:tr>
      <w:tr w14:paraId="51F2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3959D98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副高级</w:t>
            </w:r>
          </w:p>
        </w:tc>
        <w:tc>
          <w:tcPr>
            <w:tcW w:w="727" w:type="dxa"/>
            <w:vAlign w:val="center"/>
          </w:tcPr>
          <w:p w14:paraId="5D775794">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10</w:t>
            </w:r>
          </w:p>
        </w:tc>
        <w:tc>
          <w:tcPr>
            <w:tcW w:w="806" w:type="dxa"/>
            <w:vAlign w:val="center"/>
          </w:tcPr>
          <w:p w14:paraId="1AC151DD">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1" w:type="dxa"/>
            <w:vAlign w:val="center"/>
          </w:tcPr>
          <w:p w14:paraId="2983FA8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6</w:t>
            </w:r>
          </w:p>
        </w:tc>
        <w:tc>
          <w:tcPr>
            <w:tcW w:w="712" w:type="dxa"/>
            <w:vAlign w:val="center"/>
          </w:tcPr>
          <w:p w14:paraId="08CB8E8E">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4</w:t>
            </w:r>
          </w:p>
        </w:tc>
        <w:tc>
          <w:tcPr>
            <w:tcW w:w="729" w:type="dxa"/>
            <w:vAlign w:val="center"/>
          </w:tcPr>
          <w:p w14:paraId="5AEDFA0A">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42" w:type="dxa"/>
            <w:vAlign w:val="center"/>
          </w:tcPr>
          <w:p w14:paraId="2F4AF0E3">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94" w:type="dxa"/>
            <w:vAlign w:val="center"/>
          </w:tcPr>
          <w:p w14:paraId="6F885774">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4</w:t>
            </w:r>
          </w:p>
        </w:tc>
        <w:tc>
          <w:tcPr>
            <w:tcW w:w="1006" w:type="dxa"/>
            <w:vAlign w:val="center"/>
          </w:tcPr>
          <w:p w14:paraId="7490511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w:t>
            </w:r>
          </w:p>
        </w:tc>
        <w:tc>
          <w:tcPr>
            <w:tcW w:w="672" w:type="dxa"/>
            <w:vAlign w:val="center"/>
          </w:tcPr>
          <w:p w14:paraId="30742DB3">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3" w:type="dxa"/>
            <w:vAlign w:val="center"/>
          </w:tcPr>
          <w:p w14:paraId="3EC42691">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10</w:t>
            </w:r>
          </w:p>
        </w:tc>
      </w:tr>
      <w:tr w14:paraId="501B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1E1545F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中级</w:t>
            </w:r>
          </w:p>
        </w:tc>
        <w:tc>
          <w:tcPr>
            <w:tcW w:w="727" w:type="dxa"/>
            <w:vAlign w:val="center"/>
          </w:tcPr>
          <w:p w14:paraId="24C564E7">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12</w:t>
            </w:r>
          </w:p>
        </w:tc>
        <w:tc>
          <w:tcPr>
            <w:tcW w:w="806" w:type="dxa"/>
            <w:vAlign w:val="center"/>
          </w:tcPr>
          <w:p w14:paraId="3EE88C25">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3</w:t>
            </w:r>
          </w:p>
        </w:tc>
        <w:tc>
          <w:tcPr>
            <w:tcW w:w="671" w:type="dxa"/>
            <w:vAlign w:val="center"/>
          </w:tcPr>
          <w:p w14:paraId="0AE5281F">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6</w:t>
            </w:r>
          </w:p>
        </w:tc>
        <w:tc>
          <w:tcPr>
            <w:tcW w:w="712" w:type="dxa"/>
            <w:vAlign w:val="center"/>
          </w:tcPr>
          <w:p w14:paraId="029A90F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2</w:t>
            </w:r>
          </w:p>
        </w:tc>
        <w:tc>
          <w:tcPr>
            <w:tcW w:w="729" w:type="dxa"/>
            <w:vAlign w:val="center"/>
          </w:tcPr>
          <w:p w14:paraId="5C435271">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w:t>
            </w:r>
          </w:p>
        </w:tc>
        <w:tc>
          <w:tcPr>
            <w:tcW w:w="842" w:type="dxa"/>
            <w:vAlign w:val="center"/>
          </w:tcPr>
          <w:p w14:paraId="190EEDE6">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94" w:type="dxa"/>
            <w:vAlign w:val="center"/>
          </w:tcPr>
          <w:p w14:paraId="20016B08">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3</w:t>
            </w:r>
          </w:p>
        </w:tc>
        <w:tc>
          <w:tcPr>
            <w:tcW w:w="1006" w:type="dxa"/>
            <w:vAlign w:val="center"/>
          </w:tcPr>
          <w:p w14:paraId="56021710">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3</w:t>
            </w:r>
          </w:p>
        </w:tc>
        <w:tc>
          <w:tcPr>
            <w:tcW w:w="672" w:type="dxa"/>
            <w:vAlign w:val="center"/>
          </w:tcPr>
          <w:p w14:paraId="6B6057A2">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3" w:type="dxa"/>
            <w:vAlign w:val="center"/>
          </w:tcPr>
          <w:p w14:paraId="005F5A5E">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r>
      <w:tr w14:paraId="1C59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6E6D2CA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其他</w:t>
            </w:r>
          </w:p>
        </w:tc>
        <w:tc>
          <w:tcPr>
            <w:tcW w:w="727" w:type="dxa"/>
            <w:vAlign w:val="center"/>
          </w:tcPr>
          <w:p w14:paraId="59E13E4C">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2</w:t>
            </w:r>
          </w:p>
        </w:tc>
        <w:tc>
          <w:tcPr>
            <w:tcW w:w="806" w:type="dxa"/>
            <w:vAlign w:val="center"/>
          </w:tcPr>
          <w:p w14:paraId="06F2E3BF">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2</w:t>
            </w:r>
          </w:p>
        </w:tc>
        <w:tc>
          <w:tcPr>
            <w:tcW w:w="671" w:type="dxa"/>
            <w:vAlign w:val="center"/>
          </w:tcPr>
          <w:p w14:paraId="381640D7">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712" w:type="dxa"/>
            <w:vAlign w:val="center"/>
          </w:tcPr>
          <w:p w14:paraId="47E9D063">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729" w:type="dxa"/>
            <w:vAlign w:val="center"/>
          </w:tcPr>
          <w:p w14:paraId="03F41C1B">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42" w:type="dxa"/>
            <w:vAlign w:val="center"/>
          </w:tcPr>
          <w:p w14:paraId="14A09887">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94" w:type="dxa"/>
            <w:vAlign w:val="center"/>
          </w:tcPr>
          <w:p w14:paraId="38204F9F">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2</w:t>
            </w:r>
          </w:p>
        </w:tc>
        <w:tc>
          <w:tcPr>
            <w:tcW w:w="1006" w:type="dxa"/>
            <w:vAlign w:val="center"/>
          </w:tcPr>
          <w:p w14:paraId="22C2D0DF">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2" w:type="dxa"/>
            <w:vAlign w:val="center"/>
          </w:tcPr>
          <w:p w14:paraId="5EC5D6D1">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3" w:type="dxa"/>
            <w:vAlign w:val="center"/>
          </w:tcPr>
          <w:p w14:paraId="74A4FD5D">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r>
      <w:tr w14:paraId="7798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40E86C5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总计</w:t>
            </w:r>
          </w:p>
        </w:tc>
        <w:tc>
          <w:tcPr>
            <w:tcW w:w="727" w:type="dxa"/>
            <w:vAlign w:val="center"/>
          </w:tcPr>
          <w:p w14:paraId="4015401D">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33</w:t>
            </w:r>
          </w:p>
        </w:tc>
        <w:tc>
          <w:tcPr>
            <w:tcW w:w="806" w:type="dxa"/>
            <w:vAlign w:val="center"/>
          </w:tcPr>
          <w:p w14:paraId="315C6DA1">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5</w:t>
            </w:r>
          </w:p>
        </w:tc>
        <w:tc>
          <w:tcPr>
            <w:tcW w:w="671" w:type="dxa"/>
            <w:vAlign w:val="center"/>
          </w:tcPr>
          <w:p w14:paraId="1F7AB2C4">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12</w:t>
            </w:r>
          </w:p>
        </w:tc>
        <w:tc>
          <w:tcPr>
            <w:tcW w:w="712" w:type="dxa"/>
            <w:vAlign w:val="center"/>
          </w:tcPr>
          <w:p w14:paraId="184B541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12</w:t>
            </w:r>
          </w:p>
        </w:tc>
        <w:tc>
          <w:tcPr>
            <w:tcW w:w="729" w:type="dxa"/>
            <w:vAlign w:val="center"/>
          </w:tcPr>
          <w:p w14:paraId="683C04FE">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4</w:t>
            </w:r>
          </w:p>
        </w:tc>
        <w:tc>
          <w:tcPr>
            <w:tcW w:w="842" w:type="dxa"/>
            <w:vAlign w:val="center"/>
          </w:tcPr>
          <w:p w14:paraId="3198C09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894" w:type="dxa"/>
            <w:vAlign w:val="center"/>
          </w:tcPr>
          <w:p w14:paraId="6BA89FA9">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13</w:t>
            </w:r>
          </w:p>
        </w:tc>
        <w:tc>
          <w:tcPr>
            <w:tcW w:w="1006" w:type="dxa"/>
            <w:vAlign w:val="center"/>
          </w:tcPr>
          <w:p w14:paraId="27F3872A">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7</w:t>
            </w:r>
          </w:p>
        </w:tc>
        <w:tc>
          <w:tcPr>
            <w:tcW w:w="672" w:type="dxa"/>
            <w:vAlign w:val="center"/>
          </w:tcPr>
          <w:p w14:paraId="34D201F0">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0</w:t>
            </w:r>
          </w:p>
        </w:tc>
        <w:tc>
          <w:tcPr>
            <w:tcW w:w="673" w:type="dxa"/>
            <w:vAlign w:val="center"/>
          </w:tcPr>
          <w:p w14:paraId="07796F3A">
            <w:pPr>
              <w:adjustRightInd w:val="0"/>
              <w:snapToGrid w:val="0"/>
              <w:spacing w:line="360" w:lineRule="exact"/>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szCs w:val="21"/>
              </w:rPr>
              <w:t>19</w:t>
            </w:r>
          </w:p>
        </w:tc>
      </w:tr>
    </w:tbl>
    <w:p w14:paraId="35947D18">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eastAsia="STFangsong" w:cs="Times New Roman"/>
          <w:b/>
          <w:color w:val="auto"/>
          <w:kern w:val="2"/>
          <w:szCs w:val="21"/>
          <w:lang w:val="en-US" w:eastAsia="zh-CN" w:bidi="ar-SA"/>
        </w:rPr>
      </w:pPr>
    </w:p>
    <w:p w14:paraId="77B03B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表7  教师参加国内学术会议情况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885"/>
        <w:gridCol w:w="661"/>
        <w:gridCol w:w="2102"/>
        <w:gridCol w:w="729"/>
        <w:gridCol w:w="794"/>
        <w:gridCol w:w="1195"/>
        <w:gridCol w:w="1528"/>
      </w:tblGrid>
      <w:tr w14:paraId="25E85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496837C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885" w:type="dxa"/>
            <w:vAlign w:val="center"/>
          </w:tcPr>
          <w:p w14:paraId="2EE4843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w:t>
            </w:r>
          </w:p>
          <w:p w14:paraId="41B866B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661" w:type="dxa"/>
            <w:vAlign w:val="center"/>
          </w:tcPr>
          <w:p w14:paraId="2E8D59E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2102" w:type="dxa"/>
            <w:vAlign w:val="center"/>
          </w:tcPr>
          <w:p w14:paraId="466B05F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729" w:type="dxa"/>
            <w:vAlign w:val="center"/>
          </w:tcPr>
          <w:p w14:paraId="7563300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794" w:type="dxa"/>
            <w:vAlign w:val="center"/>
          </w:tcPr>
          <w:p w14:paraId="513D243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195" w:type="dxa"/>
            <w:vAlign w:val="center"/>
          </w:tcPr>
          <w:p w14:paraId="52BC7F7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528" w:type="dxa"/>
            <w:vAlign w:val="center"/>
          </w:tcPr>
          <w:p w14:paraId="318B680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报告名称及形式</w:t>
            </w:r>
          </w:p>
        </w:tc>
      </w:tr>
      <w:tr w14:paraId="79B9E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60B601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0" w:name="_Toc23596"/>
            <w:r>
              <w:rPr>
                <w:rFonts w:hint="default" w:ascii="Times New Roman" w:hAnsi="Times New Roman" w:cs="Times New Roman" w:eastAsiaTheme="majorEastAsia"/>
                <w:bCs/>
                <w:color w:val="auto"/>
                <w:sz w:val="21"/>
                <w:szCs w:val="21"/>
                <w:lang w:val="en-US" w:eastAsia="zh-CN"/>
              </w:rPr>
              <w:t>1</w:t>
            </w:r>
          </w:p>
        </w:tc>
        <w:tc>
          <w:tcPr>
            <w:tcW w:w="885" w:type="dxa"/>
            <w:vAlign w:val="center"/>
          </w:tcPr>
          <w:p w14:paraId="4CEC7C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1" w:type="dxa"/>
            <w:vAlign w:val="center"/>
          </w:tcPr>
          <w:p w14:paraId="544022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2102" w:type="dxa"/>
            <w:vAlign w:val="center"/>
          </w:tcPr>
          <w:p w14:paraId="469721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rPr>
              <w:t>发展中国家履行《联合国森林文书》国际会议</w:t>
            </w:r>
          </w:p>
        </w:tc>
        <w:tc>
          <w:tcPr>
            <w:tcW w:w="729" w:type="dxa"/>
            <w:vAlign w:val="center"/>
          </w:tcPr>
          <w:p w14:paraId="1D0357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94" w:type="dxa"/>
            <w:vAlign w:val="center"/>
          </w:tcPr>
          <w:p w14:paraId="2363F9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95" w:type="dxa"/>
            <w:vAlign w:val="center"/>
          </w:tcPr>
          <w:p w14:paraId="21457C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20220729</w:t>
            </w:r>
          </w:p>
        </w:tc>
        <w:tc>
          <w:tcPr>
            <w:tcW w:w="1528" w:type="dxa"/>
            <w:vAlign w:val="center"/>
          </w:tcPr>
          <w:p w14:paraId="2392B7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“forest law in China”主题报告，报告人</w:t>
            </w:r>
          </w:p>
        </w:tc>
      </w:tr>
      <w:tr w14:paraId="6490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77AF0D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885" w:type="dxa"/>
            <w:vAlign w:val="center"/>
          </w:tcPr>
          <w:p w14:paraId="564E6C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1" w:type="dxa"/>
            <w:vAlign w:val="center"/>
          </w:tcPr>
          <w:p w14:paraId="017618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2102" w:type="dxa"/>
            <w:vAlign w:val="center"/>
          </w:tcPr>
          <w:p w14:paraId="27C712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eastAsiaTheme="majorEastAsia"/>
                <w:bCs/>
                <w:color w:val="auto"/>
                <w:sz w:val="21"/>
                <w:szCs w:val="21"/>
                <w:lang w:val="en-US" w:eastAsia="zh-CN"/>
              </w:rPr>
              <w:t>发展中国家林业部政府官员国际会议</w:t>
            </w:r>
          </w:p>
        </w:tc>
        <w:tc>
          <w:tcPr>
            <w:tcW w:w="729" w:type="dxa"/>
            <w:vAlign w:val="center"/>
          </w:tcPr>
          <w:p w14:paraId="105CF4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94" w:type="dxa"/>
            <w:vAlign w:val="center"/>
          </w:tcPr>
          <w:p w14:paraId="3B681C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95" w:type="dxa"/>
            <w:vAlign w:val="center"/>
          </w:tcPr>
          <w:p w14:paraId="6ACC42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20220530</w:t>
            </w:r>
          </w:p>
        </w:tc>
        <w:tc>
          <w:tcPr>
            <w:tcW w:w="1528" w:type="dxa"/>
            <w:vAlign w:val="center"/>
          </w:tcPr>
          <w:p w14:paraId="25DBD6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“forest law in China”主题报告，报告人</w:t>
            </w:r>
          </w:p>
        </w:tc>
      </w:tr>
      <w:tr w14:paraId="6427A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5EB9F1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885" w:type="dxa"/>
            <w:vAlign w:val="center"/>
          </w:tcPr>
          <w:p w14:paraId="4EA295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1" w:type="dxa"/>
            <w:vAlign w:val="center"/>
          </w:tcPr>
          <w:p w14:paraId="186C39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2102" w:type="dxa"/>
            <w:vAlign w:val="center"/>
          </w:tcPr>
          <w:p w14:paraId="13EB17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“药品专利链接及相关制度”学术研讨会</w:t>
            </w:r>
          </w:p>
        </w:tc>
        <w:tc>
          <w:tcPr>
            <w:tcW w:w="729" w:type="dxa"/>
            <w:vAlign w:val="center"/>
          </w:tcPr>
          <w:p w14:paraId="389D56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4" w:type="dxa"/>
            <w:vAlign w:val="center"/>
          </w:tcPr>
          <w:p w14:paraId="624AEC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95" w:type="dxa"/>
            <w:vAlign w:val="center"/>
          </w:tcPr>
          <w:p w14:paraId="60124F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20221125</w:t>
            </w:r>
          </w:p>
        </w:tc>
        <w:tc>
          <w:tcPr>
            <w:tcW w:w="1528" w:type="dxa"/>
            <w:vAlign w:val="center"/>
          </w:tcPr>
          <w:p w14:paraId="07FC08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“我国上市药品专利信息登记制度的完善”，报告人</w:t>
            </w:r>
          </w:p>
        </w:tc>
      </w:tr>
      <w:tr w14:paraId="113E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6F8B5A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885" w:type="dxa"/>
            <w:vAlign w:val="center"/>
          </w:tcPr>
          <w:p w14:paraId="217E15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661" w:type="dxa"/>
            <w:vAlign w:val="center"/>
          </w:tcPr>
          <w:p w14:paraId="4181B1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2102" w:type="dxa"/>
            <w:vAlign w:val="center"/>
          </w:tcPr>
          <w:p w14:paraId="5B1D57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气候变化诉讼：第一届中德气候法与可持续发展研讨会</w:t>
            </w:r>
          </w:p>
        </w:tc>
        <w:tc>
          <w:tcPr>
            <w:tcW w:w="729" w:type="dxa"/>
            <w:vAlign w:val="center"/>
          </w:tcPr>
          <w:p w14:paraId="16C42D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94" w:type="dxa"/>
            <w:vAlign w:val="center"/>
          </w:tcPr>
          <w:p w14:paraId="2415DE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95" w:type="dxa"/>
            <w:vAlign w:val="center"/>
          </w:tcPr>
          <w:p w14:paraId="230D6C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20221202</w:t>
            </w:r>
          </w:p>
        </w:tc>
        <w:tc>
          <w:tcPr>
            <w:tcW w:w="1528" w:type="dxa"/>
            <w:vAlign w:val="center"/>
          </w:tcPr>
          <w:p w14:paraId="707F63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BA9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76FB7A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885" w:type="dxa"/>
            <w:vAlign w:val="center"/>
          </w:tcPr>
          <w:p w14:paraId="06E1C2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白越</w:t>
            </w:r>
          </w:p>
        </w:tc>
        <w:tc>
          <w:tcPr>
            <w:tcW w:w="661" w:type="dxa"/>
            <w:vAlign w:val="center"/>
          </w:tcPr>
          <w:p w14:paraId="49A3CB1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102" w:type="dxa"/>
            <w:vAlign w:val="center"/>
          </w:tcPr>
          <w:p w14:paraId="41DEF5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气候变化诉讼：第一届中德气候法与可持续发展研讨会</w:t>
            </w:r>
          </w:p>
        </w:tc>
        <w:tc>
          <w:tcPr>
            <w:tcW w:w="729" w:type="dxa"/>
            <w:vAlign w:val="center"/>
          </w:tcPr>
          <w:p w14:paraId="4D8EC3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94" w:type="dxa"/>
            <w:vAlign w:val="center"/>
          </w:tcPr>
          <w:p w14:paraId="31E3A8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95" w:type="dxa"/>
            <w:vAlign w:val="center"/>
          </w:tcPr>
          <w:p w14:paraId="45EF025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20221202</w:t>
            </w:r>
          </w:p>
        </w:tc>
        <w:tc>
          <w:tcPr>
            <w:tcW w:w="1528" w:type="dxa"/>
            <w:vAlign w:val="center"/>
          </w:tcPr>
          <w:p w14:paraId="3A66D6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708F6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dxa"/>
            <w:vAlign w:val="center"/>
          </w:tcPr>
          <w:p w14:paraId="3B0B57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885" w:type="dxa"/>
            <w:vAlign w:val="center"/>
          </w:tcPr>
          <w:p w14:paraId="1F5B71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郑勇</w:t>
            </w:r>
          </w:p>
        </w:tc>
        <w:tc>
          <w:tcPr>
            <w:tcW w:w="661" w:type="dxa"/>
            <w:vAlign w:val="center"/>
          </w:tcPr>
          <w:p w14:paraId="176972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102" w:type="dxa"/>
            <w:vAlign w:val="center"/>
          </w:tcPr>
          <w:p w14:paraId="6DB4B7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气候变化诉讼：第一届中德气候法与可持续发展研讨会</w:t>
            </w:r>
          </w:p>
        </w:tc>
        <w:tc>
          <w:tcPr>
            <w:tcW w:w="729" w:type="dxa"/>
            <w:vAlign w:val="center"/>
          </w:tcPr>
          <w:p w14:paraId="124248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94" w:type="dxa"/>
            <w:vAlign w:val="center"/>
          </w:tcPr>
          <w:p w14:paraId="5F23B3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线上</w:t>
            </w:r>
          </w:p>
        </w:tc>
        <w:tc>
          <w:tcPr>
            <w:tcW w:w="1195" w:type="dxa"/>
            <w:vAlign w:val="center"/>
          </w:tcPr>
          <w:p w14:paraId="58AFAC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20221202</w:t>
            </w:r>
          </w:p>
        </w:tc>
        <w:tc>
          <w:tcPr>
            <w:tcW w:w="1528" w:type="dxa"/>
            <w:vAlign w:val="center"/>
          </w:tcPr>
          <w:p w14:paraId="38516F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bl>
    <w:p w14:paraId="5BC5C96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 w:val="0"/>
          <w:bCs w:val="0"/>
          <w:i w:val="0"/>
          <w:iCs w:val="0"/>
          <w:color w:val="auto"/>
          <w:kern w:val="2"/>
          <w:sz w:val="24"/>
          <w:szCs w:val="24"/>
          <w:lang w:val="en-US" w:eastAsia="zh-CN" w:bidi="ar-SA"/>
        </w:rPr>
      </w:pPr>
    </w:p>
    <w:p w14:paraId="10D9182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（三）科学研究和社会服务</w:t>
      </w:r>
      <w:bookmarkEnd w:id="10"/>
    </w:p>
    <w:p w14:paraId="44AADC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论文质量</w:t>
      </w:r>
    </w:p>
    <w:p w14:paraId="69EF59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表8 发表论文（以中南林业科技大学为第一单位）</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82"/>
        <w:gridCol w:w="1148"/>
        <w:gridCol w:w="1479"/>
        <w:gridCol w:w="1964"/>
        <w:gridCol w:w="1656"/>
      </w:tblGrid>
      <w:tr w14:paraId="4F428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6F8A748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582" w:type="dxa"/>
            <w:vAlign w:val="center"/>
          </w:tcPr>
          <w:p w14:paraId="3235FF5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论文题目</w:t>
            </w:r>
          </w:p>
        </w:tc>
        <w:tc>
          <w:tcPr>
            <w:tcW w:w="1148" w:type="dxa"/>
            <w:vAlign w:val="center"/>
          </w:tcPr>
          <w:p w14:paraId="1589C57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第一和通讯作者</w:t>
            </w:r>
          </w:p>
        </w:tc>
        <w:tc>
          <w:tcPr>
            <w:tcW w:w="1479" w:type="dxa"/>
            <w:vAlign w:val="center"/>
          </w:tcPr>
          <w:p w14:paraId="1675CD9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刊物</w:t>
            </w:r>
          </w:p>
        </w:tc>
        <w:tc>
          <w:tcPr>
            <w:tcW w:w="1964" w:type="dxa"/>
            <w:vAlign w:val="center"/>
          </w:tcPr>
          <w:p w14:paraId="1ED7916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卷期页码</w:t>
            </w:r>
          </w:p>
        </w:tc>
        <w:tc>
          <w:tcPr>
            <w:tcW w:w="1656" w:type="dxa"/>
            <w:vAlign w:val="center"/>
          </w:tcPr>
          <w:p w14:paraId="098597C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体现论文水平及与学位点契合度的有关说明</w:t>
            </w:r>
            <w:r>
              <w:rPr>
                <w:rFonts w:hint="default" w:ascii="Times New Roman" w:hAnsi="Times New Roman" w:cs="Times New Roman" w:eastAsiaTheme="majorEastAsia"/>
                <w:i w:val="0"/>
                <w:iCs w:val="0"/>
                <w:szCs w:val="21"/>
              </w:rPr>
              <w:t>（</w:t>
            </w:r>
            <w:r>
              <w:rPr>
                <w:rFonts w:hint="default" w:ascii="Times New Roman" w:hAnsi="Times New Roman" w:cs="Times New Roman" w:eastAsiaTheme="majorEastAsia"/>
                <w:i w:val="0"/>
                <w:iCs w:val="0"/>
                <w:szCs w:val="21"/>
                <w:lang w:val="en-US" w:eastAsia="zh-CN"/>
              </w:rPr>
              <w:t>论文摘要，</w:t>
            </w:r>
            <w:r>
              <w:rPr>
                <w:rFonts w:hint="default" w:ascii="Times New Roman" w:hAnsi="Times New Roman" w:cs="Times New Roman" w:eastAsiaTheme="majorEastAsia"/>
                <w:i w:val="0"/>
                <w:iCs w:val="0"/>
                <w:szCs w:val="21"/>
              </w:rPr>
              <w:t>限50字）</w:t>
            </w:r>
            <w:r>
              <w:rPr>
                <w:rFonts w:hint="default" w:ascii="Times New Roman" w:hAnsi="Times New Roman" w:cs="Times New Roman" w:eastAsiaTheme="majorEastAsia"/>
                <w:i w:val="0"/>
                <w:iCs w:val="0"/>
                <w:color w:val="auto"/>
                <w:szCs w:val="21"/>
                <w:lang w:val="en-US" w:eastAsia="zh-CN"/>
              </w:rPr>
              <w:t>期刊收录情况？</w:t>
            </w:r>
          </w:p>
        </w:tc>
      </w:tr>
      <w:tr w14:paraId="7B77A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47CA69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582" w:type="dxa"/>
            <w:vAlign w:val="center"/>
          </w:tcPr>
          <w:p w14:paraId="79912B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论抽象危险犯个罪裁判规范的续造</w:t>
            </w:r>
          </w:p>
        </w:tc>
        <w:tc>
          <w:tcPr>
            <w:tcW w:w="1148" w:type="dxa"/>
            <w:vAlign w:val="center"/>
          </w:tcPr>
          <w:p w14:paraId="1C58DC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1479" w:type="dxa"/>
            <w:vAlign w:val="center"/>
          </w:tcPr>
          <w:p w14:paraId="34DD34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w:t>
            </w:r>
          </w:p>
        </w:tc>
        <w:tc>
          <w:tcPr>
            <w:tcW w:w="1964" w:type="dxa"/>
            <w:vAlign w:val="center"/>
          </w:tcPr>
          <w:p w14:paraId="6A2B77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2022,(02):144-162</w:t>
            </w:r>
          </w:p>
        </w:tc>
        <w:tc>
          <w:tcPr>
            <w:tcW w:w="1656" w:type="dxa"/>
            <w:vAlign w:val="center"/>
          </w:tcPr>
          <w:p w14:paraId="20E66B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CSSCI期刊-北大核心期刊</w:t>
            </w:r>
          </w:p>
        </w:tc>
      </w:tr>
      <w:tr w14:paraId="19A0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5E0575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582" w:type="dxa"/>
            <w:vAlign w:val="center"/>
          </w:tcPr>
          <w:p w14:paraId="5B2878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议事协调机构的组织法规探讨</w:t>
            </w:r>
          </w:p>
        </w:tc>
        <w:tc>
          <w:tcPr>
            <w:tcW w:w="1148" w:type="dxa"/>
            <w:vAlign w:val="center"/>
          </w:tcPr>
          <w:p w14:paraId="1C61BB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马世嫒</w:t>
            </w:r>
          </w:p>
        </w:tc>
        <w:tc>
          <w:tcPr>
            <w:tcW w:w="1479" w:type="dxa"/>
            <w:vAlign w:val="center"/>
          </w:tcPr>
          <w:p w14:paraId="5FD27E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领导科学</w:t>
            </w:r>
          </w:p>
        </w:tc>
        <w:tc>
          <w:tcPr>
            <w:tcW w:w="1964" w:type="dxa"/>
            <w:vAlign w:val="center"/>
          </w:tcPr>
          <w:p w14:paraId="3B7791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2022,(08):123-128</w:t>
            </w:r>
          </w:p>
        </w:tc>
        <w:tc>
          <w:tcPr>
            <w:tcW w:w="1656" w:type="dxa"/>
            <w:vAlign w:val="center"/>
          </w:tcPr>
          <w:p w14:paraId="77DA1C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21C2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504B6E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582" w:type="dxa"/>
            <w:vAlign w:val="center"/>
          </w:tcPr>
          <w:p w14:paraId="10B299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我国上市药品专利信息登记制度的完善</w:t>
            </w:r>
          </w:p>
        </w:tc>
        <w:tc>
          <w:tcPr>
            <w:tcW w:w="1148" w:type="dxa"/>
            <w:vAlign w:val="center"/>
          </w:tcPr>
          <w:p w14:paraId="0576F4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1479" w:type="dxa"/>
            <w:vAlign w:val="center"/>
          </w:tcPr>
          <w:p w14:paraId="3E214B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政治与法律</w:t>
            </w:r>
          </w:p>
        </w:tc>
        <w:tc>
          <w:tcPr>
            <w:tcW w:w="1964" w:type="dxa"/>
            <w:vAlign w:val="center"/>
          </w:tcPr>
          <w:p w14:paraId="4CD06F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2022,(06):126-142.</w:t>
            </w:r>
          </w:p>
        </w:tc>
        <w:tc>
          <w:tcPr>
            <w:tcW w:w="1656" w:type="dxa"/>
            <w:vAlign w:val="center"/>
          </w:tcPr>
          <w:p w14:paraId="2986BA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230C0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9" w:type="dxa"/>
            <w:vAlign w:val="center"/>
          </w:tcPr>
          <w:p w14:paraId="532D98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582" w:type="dxa"/>
            <w:vAlign w:val="center"/>
          </w:tcPr>
          <w:p w14:paraId="69CECC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推动专利到期药物仿制上市的专利制度优化研究</w:t>
            </w:r>
          </w:p>
        </w:tc>
        <w:tc>
          <w:tcPr>
            <w:tcW w:w="1148" w:type="dxa"/>
            <w:vAlign w:val="center"/>
          </w:tcPr>
          <w:p w14:paraId="5BC0C7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1479" w:type="dxa"/>
            <w:vAlign w:val="center"/>
          </w:tcPr>
          <w:p w14:paraId="5C3708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知识产权</w:t>
            </w:r>
          </w:p>
        </w:tc>
        <w:tc>
          <w:tcPr>
            <w:tcW w:w="1964" w:type="dxa"/>
            <w:vAlign w:val="center"/>
          </w:tcPr>
          <w:p w14:paraId="424626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2022,(09):70-89</w:t>
            </w:r>
          </w:p>
        </w:tc>
        <w:tc>
          <w:tcPr>
            <w:tcW w:w="1656" w:type="dxa"/>
            <w:vAlign w:val="center"/>
          </w:tcPr>
          <w:p w14:paraId="1F2220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0683B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325E8D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582" w:type="dxa"/>
            <w:vAlign w:val="center"/>
          </w:tcPr>
          <w:p w14:paraId="5E1865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法教义学视野下的本土习惯法—以顶盆继承类为样本</w:t>
            </w:r>
          </w:p>
        </w:tc>
        <w:tc>
          <w:tcPr>
            <w:tcW w:w="1148" w:type="dxa"/>
            <w:vAlign w:val="center"/>
          </w:tcPr>
          <w:p w14:paraId="1B6F73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tc>
        <w:tc>
          <w:tcPr>
            <w:tcW w:w="1479" w:type="dxa"/>
            <w:vAlign w:val="center"/>
          </w:tcPr>
          <w:p w14:paraId="2C646E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政治与法律</w:t>
            </w:r>
          </w:p>
        </w:tc>
        <w:tc>
          <w:tcPr>
            <w:tcW w:w="1964" w:type="dxa"/>
            <w:vAlign w:val="center"/>
          </w:tcPr>
          <w:p w14:paraId="0357CE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2022(12):113-131</w:t>
            </w:r>
          </w:p>
        </w:tc>
        <w:tc>
          <w:tcPr>
            <w:tcW w:w="1656" w:type="dxa"/>
            <w:vAlign w:val="center"/>
          </w:tcPr>
          <w:p w14:paraId="4A734E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20AF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46D057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1582" w:type="dxa"/>
            <w:vAlign w:val="center"/>
          </w:tcPr>
          <w:p w14:paraId="7610DE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人工智能嵌入政府治理的责任困境及其政策纾解</w:t>
            </w:r>
          </w:p>
        </w:tc>
        <w:tc>
          <w:tcPr>
            <w:tcW w:w="1148" w:type="dxa"/>
            <w:vAlign w:val="center"/>
          </w:tcPr>
          <w:p w14:paraId="72E7AEC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479" w:type="dxa"/>
            <w:vAlign w:val="center"/>
          </w:tcPr>
          <w:p w14:paraId="1E8B8F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西南民族大学学报（人文社会科学版）</w:t>
            </w:r>
          </w:p>
        </w:tc>
        <w:tc>
          <w:tcPr>
            <w:tcW w:w="1964" w:type="dxa"/>
            <w:vAlign w:val="center"/>
          </w:tcPr>
          <w:p w14:paraId="50C2B2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2022,43(04):192-200</w:t>
            </w:r>
          </w:p>
        </w:tc>
        <w:tc>
          <w:tcPr>
            <w:tcW w:w="1656" w:type="dxa"/>
            <w:vAlign w:val="center"/>
          </w:tcPr>
          <w:p w14:paraId="393BD2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2F30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2F0264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1582" w:type="dxa"/>
            <w:vAlign w:val="center"/>
          </w:tcPr>
          <w:p w14:paraId="1CB706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历史赓续、实践驱动与本质创新：“以人民为中心”行政价值观的生成理路</w:t>
            </w:r>
          </w:p>
        </w:tc>
        <w:tc>
          <w:tcPr>
            <w:tcW w:w="1148" w:type="dxa"/>
            <w:vAlign w:val="center"/>
          </w:tcPr>
          <w:p w14:paraId="462290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479" w:type="dxa"/>
            <w:vAlign w:val="center"/>
          </w:tcPr>
          <w:p w14:paraId="038E13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理论月刊</w:t>
            </w:r>
          </w:p>
        </w:tc>
        <w:tc>
          <w:tcPr>
            <w:tcW w:w="1964" w:type="dxa"/>
            <w:vAlign w:val="center"/>
          </w:tcPr>
          <w:p w14:paraId="503991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2022,(06):29-37</w:t>
            </w:r>
          </w:p>
        </w:tc>
        <w:tc>
          <w:tcPr>
            <w:tcW w:w="1656" w:type="dxa"/>
            <w:vAlign w:val="center"/>
          </w:tcPr>
          <w:p w14:paraId="6F12B4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111A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6DA1C4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1582" w:type="dxa"/>
            <w:vAlign w:val="center"/>
          </w:tcPr>
          <w:p w14:paraId="4C51B8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设计学类大学生劳动教育实践路径探索</w:t>
            </w:r>
          </w:p>
        </w:tc>
        <w:tc>
          <w:tcPr>
            <w:tcW w:w="1148" w:type="dxa"/>
            <w:vAlign w:val="center"/>
          </w:tcPr>
          <w:p w14:paraId="577D62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1479" w:type="dxa"/>
            <w:vAlign w:val="center"/>
          </w:tcPr>
          <w:p w14:paraId="382EA2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家具与室内装</w:t>
            </w:r>
          </w:p>
          <w:p w14:paraId="011024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饰</w:t>
            </w:r>
          </w:p>
        </w:tc>
        <w:tc>
          <w:tcPr>
            <w:tcW w:w="1964" w:type="dxa"/>
            <w:vAlign w:val="center"/>
          </w:tcPr>
          <w:p w14:paraId="477B0C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2022,(07):138-140</w:t>
            </w:r>
          </w:p>
        </w:tc>
        <w:tc>
          <w:tcPr>
            <w:tcW w:w="1656" w:type="dxa"/>
            <w:vAlign w:val="center"/>
          </w:tcPr>
          <w:p w14:paraId="1C8C56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685E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08A2A4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1582" w:type="dxa"/>
            <w:vAlign w:val="center"/>
          </w:tcPr>
          <w:p w14:paraId="31506F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声音的法律属性论争与证</w:t>
            </w:r>
          </w:p>
          <w:p w14:paraId="754820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成——我国《民法典》第1023</w:t>
            </w:r>
          </w:p>
          <w:p w14:paraId="2EF942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条第2款的法教义学分析</w:t>
            </w:r>
          </w:p>
        </w:tc>
        <w:tc>
          <w:tcPr>
            <w:tcW w:w="1148" w:type="dxa"/>
            <w:vAlign w:val="center"/>
          </w:tcPr>
          <w:p w14:paraId="63EE30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姜晓华</w:t>
            </w:r>
          </w:p>
        </w:tc>
        <w:tc>
          <w:tcPr>
            <w:tcW w:w="1479" w:type="dxa"/>
            <w:vAlign w:val="center"/>
          </w:tcPr>
          <w:p w14:paraId="49EA0B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北方法学</w:t>
            </w:r>
          </w:p>
        </w:tc>
        <w:tc>
          <w:tcPr>
            <w:tcW w:w="1964" w:type="dxa"/>
            <w:vAlign w:val="center"/>
          </w:tcPr>
          <w:p w14:paraId="349493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2022,(05):,</w:t>
            </w:r>
            <w:r>
              <w:rPr>
                <w:rFonts w:hint="eastAsia" w:ascii="Times New Roman" w:hAnsi="Times New Roman" w:cs="Times New Roman" w:eastAsiaTheme="majorEastAsia"/>
                <w:bCs/>
                <w:szCs w:val="21"/>
              </w:rPr>
              <w:t>70-80</w:t>
            </w:r>
          </w:p>
        </w:tc>
        <w:tc>
          <w:tcPr>
            <w:tcW w:w="1656" w:type="dxa"/>
            <w:vAlign w:val="center"/>
          </w:tcPr>
          <w:p w14:paraId="7D68EC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54094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319441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1582" w:type="dxa"/>
            <w:vAlign w:val="center"/>
          </w:tcPr>
          <w:p w14:paraId="195880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以习近平法治思想引领司法审判工作论要</w:t>
            </w:r>
          </w:p>
        </w:tc>
        <w:tc>
          <w:tcPr>
            <w:tcW w:w="1148" w:type="dxa"/>
            <w:vAlign w:val="center"/>
          </w:tcPr>
          <w:p w14:paraId="5BE391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马世嫒</w:t>
            </w:r>
          </w:p>
        </w:tc>
        <w:tc>
          <w:tcPr>
            <w:tcW w:w="1479" w:type="dxa"/>
            <w:vAlign w:val="center"/>
          </w:tcPr>
          <w:p w14:paraId="77D7A9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中国应用法学</w:t>
            </w:r>
          </w:p>
        </w:tc>
        <w:tc>
          <w:tcPr>
            <w:tcW w:w="1964" w:type="dxa"/>
            <w:vAlign w:val="center"/>
          </w:tcPr>
          <w:p w14:paraId="23C0CE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2022,(01):</w:t>
            </w:r>
            <w:r>
              <w:rPr>
                <w:rFonts w:hint="eastAsia" w:ascii="Times New Roman" w:hAnsi="Times New Roman" w:cs="Times New Roman" w:eastAsiaTheme="majorEastAsia"/>
                <w:bCs/>
                <w:szCs w:val="21"/>
              </w:rPr>
              <w:t>1-23</w:t>
            </w:r>
          </w:p>
        </w:tc>
        <w:tc>
          <w:tcPr>
            <w:tcW w:w="1656" w:type="dxa"/>
            <w:vAlign w:val="center"/>
          </w:tcPr>
          <w:p w14:paraId="3E6CDA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3E10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3357A2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1582" w:type="dxa"/>
            <w:vAlign w:val="center"/>
          </w:tcPr>
          <w:p w14:paraId="42AFC17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基于PSR模型的洞庭湖区水环境治理绩效评价</w:t>
            </w:r>
          </w:p>
        </w:tc>
        <w:tc>
          <w:tcPr>
            <w:tcW w:w="1148" w:type="dxa"/>
            <w:vAlign w:val="center"/>
          </w:tcPr>
          <w:p w14:paraId="33075E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傅晓华</w:t>
            </w:r>
          </w:p>
        </w:tc>
        <w:tc>
          <w:tcPr>
            <w:tcW w:w="1479" w:type="dxa"/>
            <w:vAlign w:val="center"/>
          </w:tcPr>
          <w:p w14:paraId="49A363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生态经济</w:t>
            </w:r>
          </w:p>
        </w:tc>
        <w:tc>
          <w:tcPr>
            <w:tcW w:w="1964" w:type="dxa"/>
            <w:vAlign w:val="center"/>
          </w:tcPr>
          <w:p w14:paraId="695BB9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2022,38(08):</w:t>
            </w:r>
            <w:r>
              <w:rPr>
                <w:rFonts w:hint="eastAsia" w:ascii="Times New Roman" w:hAnsi="Times New Roman" w:cs="Times New Roman" w:eastAsiaTheme="majorEastAsia"/>
                <w:bCs/>
                <w:szCs w:val="21"/>
              </w:rPr>
              <w:t>168-175</w:t>
            </w:r>
          </w:p>
        </w:tc>
        <w:tc>
          <w:tcPr>
            <w:tcW w:w="1656" w:type="dxa"/>
            <w:vAlign w:val="center"/>
          </w:tcPr>
          <w:p w14:paraId="67F0C5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0BD79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68538E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1582" w:type="dxa"/>
            <w:vAlign w:val="center"/>
          </w:tcPr>
          <w:p w14:paraId="01B5F3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Soil quality assessment </w:t>
            </w:r>
          </w:p>
          <w:p w14:paraId="270811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via the factor analysis </w:t>
            </w:r>
          </w:p>
          <w:p w14:paraId="355EAB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of karst rocky </w:t>
            </w:r>
          </w:p>
          <w:p w14:paraId="17078A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desertification areas in </w:t>
            </w:r>
          </w:p>
          <w:p w14:paraId="4785F6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Hunan, China</w:t>
            </w:r>
          </w:p>
        </w:tc>
        <w:tc>
          <w:tcPr>
            <w:tcW w:w="1148" w:type="dxa"/>
            <w:vAlign w:val="center"/>
          </w:tcPr>
          <w:p w14:paraId="6712E4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邓艳林</w:t>
            </w:r>
          </w:p>
        </w:tc>
        <w:tc>
          <w:tcPr>
            <w:tcW w:w="1479" w:type="dxa"/>
            <w:vAlign w:val="center"/>
          </w:tcPr>
          <w:p w14:paraId="69CFB8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SOIL USE AND </w:t>
            </w:r>
          </w:p>
          <w:p w14:paraId="09DFDA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MANAGEMENT</w:t>
            </w:r>
          </w:p>
        </w:tc>
        <w:tc>
          <w:tcPr>
            <w:tcW w:w="1964" w:type="dxa"/>
            <w:vAlign w:val="center"/>
          </w:tcPr>
          <w:p w14:paraId="2793B4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2022,(02):,248-261</w:t>
            </w:r>
          </w:p>
        </w:tc>
        <w:tc>
          <w:tcPr>
            <w:tcW w:w="1656" w:type="dxa"/>
            <w:vAlign w:val="center"/>
          </w:tcPr>
          <w:p w14:paraId="14DF0E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SCI期刊</w:t>
            </w:r>
          </w:p>
        </w:tc>
      </w:tr>
      <w:tr w14:paraId="0187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49BBB78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1582" w:type="dxa"/>
            <w:vAlign w:val="center"/>
          </w:tcPr>
          <w:p w14:paraId="22DC26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非国有林地管制性征收补偿的习惯法进路</w:t>
            </w:r>
          </w:p>
        </w:tc>
        <w:tc>
          <w:tcPr>
            <w:tcW w:w="1148" w:type="dxa"/>
            <w:vAlign w:val="center"/>
          </w:tcPr>
          <w:p w14:paraId="005B3D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p w14:paraId="15468D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p>
        </w:tc>
        <w:tc>
          <w:tcPr>
            <w:tcW w:w="1479" w:type="dxa"/>
            <w:vAlign w:val="center"/>
          </w:tcPr>
          <w:p w14:paraId="35D5DA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964" w:type="dxa"/>
            <w:vAlign w:val="center"/>
          </w:tcPr>
          <w:p w14:paraId="67BD5D8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2022,16(01):58-63+99</w:t>
            </w:r>
          </w:p>
        </w:tc>
        <w:tc>
          <w:tcPr>
            <w:tcW w:w="1656" w:type="dxa"/>
            <w:vAlign w:val="center"/>
          </w:tcPr>
          <w:p w14:paraId="7A1997D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036AE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077BC8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1582" w:type="dxa"/>
            <w:vAlign w:val="center"/>
          </w:tcPr>
          <w:p w14:paraId="0D3B12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农林院校行政管理专业课程思政建设路径探索</w:t>
            </w:r>
          </w:p>
        </w:tc>
        <w:tc>
          <w:tcPr>
            <w:tcW w:w="1148" w:type="dxa"/>
            <w:vAlign w:val="center"/>
          </w:tcPr>
          <w:p w14:paraId="5079DD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p w14:paraId="44B3F5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p>
        </w:tc>
        <w:tc>
          <w:tcPr>
            <w:tcW w:w="1479" w:type="dxa"/>
            <w:vAlign w:val="center"/>
          </w:tcPr>
          <w:p w14:paraId="11C103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湖南大众传媒职业技术学院学报</w:t>
            </w:r>
          </w:p>
        </w:tc>
        <w:tc>
          <w:tcPr>
            <w:tcW w:w="1964" w:type="dxa"/>
            <w:vAlign w:val="center"/>
          </w:tcPr>
          <w:p w14:paraId="5C9C0B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2022,22(01):107-111</w:t>
            </w:r>
          </w:p>
        </w:tc>
        <w:tc>
          <w:tcPr>
            <w:tcW w:w="1656" w:type="dxa"/>
            <w:vAlign w:val="center"/>
          </w:tcPr>
          <w:p w14:paraId="507D6E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01787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7D3286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1582" w:type="dxa"/>
            <w:vAlign w:val="center"/>
          </w:tcPr>
          <w:p w14:paraId="3730E2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环境治理中的党政问责发展进程、逻辑机理及完善路径</w:t>
            </w:r>
          </w:p>
        </w:tc>
        <w:tc>
          <w:tcPr>
            <w:tcW w:w="1148" w:type="dxa"/>
            <w:vAlign w:val="center"/>
          </w:tcPr>
          <w:p w14:paraId="5FD02D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1479" w:type="dxa"/>
            <w:vAlign w:val="center"/>
          </w:tcPr>
          <w:p w14:paraId="4FABAC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治理现代化研究</w:t>
            </w:r>
          </w:p>
        </w:tc>
        <w:tc>
          <w:tcPr>
            <w:tcW w:w="1964" w:type="dxa"/>
            <w:vAlign w:val="center"/>
          </w:tcPr>
          <w:p w14:paraId="36B843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2022,38(05):75-84</w:t>
            </w:r>
          </w:p>
        </w:tc>
        <w:tc>
          <w:tcPr>
            <w:tcW w:w="1656" w:type="dxa"/>
            <w:vAlign w:val="center"/>
          </w:tcPr>
          <w:p w14:paraId="109AD6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64A0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2C7039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1582" w:type="dxa"/>
            <w:vAlign w:val="center"/>
          </w:tcPr>
          <w:p w14:paraId="06FAAA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强化数据赋能 促进教育优质</w:t>
            </w:r>
          </w:p>
          <w:p w14:paraId="0F8EB2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均衡发展</w:t>
            </w:r>
          </w:p>
        </w:tc>
        <w:tc>
          <w:tcPr>
            <w:tcW w:w="1148" w:type="dxa"/>
            <w:vAlign w:val="center"/>
          </w:tcPr>
          <w:p w14:paraId="14F96A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杨泽章</w:t>
            </w:r>
          </w:p>
        </w:tc>
        <w:tc>
          <w:tcPr>
            <w:tcW w:w="1479" w:type="dxa"/>
            <w:vAlign w:val="center"/>
          </w:tcPr>
          <w:p w14:paraId="192E6A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湖南日报（理论智库）</w:t>
            </w:r>
          </w:p>
        </w:tc>
        <w:tc>
          <w:tcPr>
            <w:tcW w:w="1964" w:type="dxa"/>
            <w:vAlign w:val="center"/>
          </w:tcPr>
          <w:p w14:paraId="2F5AA4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2022，41（03）</w:t>
            </w:r>
          </w:p>
        </w:tc>
        <w:tc>
          <w:tcPr>
            <w:tcW w:w="1656" w:type="dxa"/>
            <w:vAlign w:val="center"/>
          </w:tcPr>
          <w:p w14:paraId="0C8CFB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774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5262BE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1582" w:type="dxa"/>
            <w:vAlign w:val="center"/>
          </w:tcPr>
          <w:p w14:paraId="775545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解决跨国收养法律冲突的中国式智慧——评《跨国收养法律冲突的解决路径：中国经验与方案》</w:t>
            </w:r>
          </w:p>
        </w:tc>
        <w:tc>
          <w:tcPr>
            <w:tcW w:w="1148" w:type="dxa"/>
            <w:vAlign w:val="center"/>
          </w:tcPr>
          <w:p w14:paraId="579B46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姜晓华</w:t>
            </w:r>
          </w:p>
        </w:tc>
        <w:tc>
          <w:tcPr>
            <w:tcW w:w="1479" w:type="dxa"/>
            <w:vAlign w:val="center"/>
          </w:tcPr>
          <w:p w14:paraId="4F1B24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时代法学</w:t>
            </w:r>
          </w:p>
        </w:tc>
        <w:tc>
          <w:tcPr>
            <w:tcW w:w="1964" w:type="dxa"/>
            <w:vAlign w:val="center"/>
          </w:tcPr>
          <w:p w14:paraId="63B6A5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2022，20（06）:112-117</w:t>
            </w:r>
          </w:p>
        </w:tc>
        <w:tc>
          <w:tcPr>
            <w:tcW w:w="1656" w:type="dxa"/>
            <w:vAlign w:val="center"/>
          </w:tcPr>
          <w:p w14:paraId="0028FE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0C3D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298637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1582" w:type="dxa"/>
            <w:vAlign w:val="center"/>
          </w:tcPr>
          <w:p w14:paraId="37E534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进化论与宏观比较法</w:t>
            </w:r>
          </w:p>
        </w:tc>
        <w:tc>
          <w:tcPr>
            <w:tcW w:w="1148" w:type="dxa"/>
            <w:vAlign w:val="center"/>
          </w:tcPr>
          <w:p w14:paraId="38D990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479" w:type="dxa"/>
            <w:vAlign w:val="center"/>
          </w:tcPr>
          <w:p w14:paraId="37DBB6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时代法学</w:t>
            </w:r>
          </w:p>
        </w:tc>
        <w:tc>
          <w:tcPr>
            <w:tcW w:w="1964" w:type="dxa"/>
            <w:vAlign w:val="center"/>
          </w:tcPr>
          <w:p w14:paraId="4F9E43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2022,20(04):</w:t>
            </w:r>
            <w:r>
              <w:rPr>
                <w:rFonts w:hint="eastAsia" w:ascii="Times New Roman" w:hAnsi="Times New Roman" w:cs="Times New Roman" w:eastAsiaTheme="majorEastAsia"/>
                <w:bCs/>
                <w:szCs w:val="21"/>
              </w:rPr>
              <w:t>99-107</w:t>
            </w:r>
          </w:p>
        </w:tc>
        <w:tc>
          <w:tcPr>
            <w:tcW w:w="1656" w:type="dxa"/>
            <w:vAlign w:val="center"/>
          </w:tcPr>
          <w:p w14:paraId="4B0708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5EB5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4098A8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1582" w:type="dxa"/>
            <w:vAlign w:val="center"/>
          </w:tcPr>
          <w:p w14:paraId="7A2122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习近平法治思想融入高校思政课教学研究</w:t>
            </w:r>
          </w:p>
        </w:tc>
        <w:tc>
          <w:tcPr>
            <w:tcW w:w="1148" w:type="dxa"/>
            <w:vAlign w:val="center"/>
          </w:tcPr>
          <w:p w14:paraId="5ECC5A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郑彦妮</w:t>
            </w:r>
          </w:p>
        </w:tc>
        <w:tc>
          <w:tcPr>
            <w:tcW w:w="1479" w:type="dxa"/>
            <w:vAlign w:val="center"/>
          </w:tcPr>
          <w:p w14:paraId="43A15E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长沙民政职业技术学院学报</w:t>
            </w:r>
          </w:p>
        </w:tc>
        <w:tc>
          <w:tcPr>
            <w:tcW w:w="1964" w:type="dxa"/>
            <w:vAlign w:val="center"/>
          </w:tcPr>
          <w:p w14:paraId="576627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2022,(03)</w:t>
            </w:r>
          </w:p>
        </w:tc>
        <w:tc>
          <w:tcPr>
            <w:tcW w:w="1656" w:type="dxa"/>
            <w:vAlign w:val="center"/>
          </w:tcPr>
          <w:p w14:paraId="715C1A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375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51FA64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1582" w:type="dxa"/>
            <w:vAlign w:val="center"/>
          </w:tcPr>
          <w:p w14:paraId="1409E3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伴侣动物被抛弃的法律问题研究</w:t>
            </w:r>
          </w:p>
        </w:tc>
        <w:tc>
          <w:tcPr>
            <w:tcW w:w="1148" w:type="dxa"/>
            <w:vAlign w:val="center"/>
          </w:tcPr>
          <w:p w14:paraId="039A70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姜晓华</w:t>
            </w:r>
          </w:p>
        </w:tc>
        <w:tc>
          <w:tcPr>
            <w:tcW w:w="1479" w:type="dxa"/>
            <w:vAlign w:val="center"/>
          </w:tcPr>
          <w:p w14:paraId="721123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上海畜牧兽医通讯</w:t>
            </w:r>
          </w:p>
        </w:tc>
        <w:tc>
          <w:tcPr>
            <w:tcW w:w="1964" w:type="dxa"/>
            <w:vAlign w:val="center"/>
          </w:tcPr>
          <w:p w14:paraId="16D300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2022,(01)</w:t>
            </w:r>
            <w:r>
              <w:rPr>
                <w:rFonts w:hint="eastAsia" w:ascii="Times New Roman" w:hAnsi="Times New Roman" w:cs="Times New Roman" w:eastAsiaTheme="majorEastAsia"/>
                <w:bCs/>
                <w:szCs w:val="21"/>
              </w:rPr>
              <w:t>:59-63,68</w:t>
            </w:r>
          </w:p>
        </w:tc>
        <w:tc>
          <w:tcPr>
            <w:tcW w:w="1656" w:type="dxa"/>
            <w:vAlign w:val="center"/>
          </w:tcPr>
          <w:p w14:paraId="66A451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E13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02002D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1582" w:type="dxa"/>
            <w:vAlign w:val="center"/>
          </w:tcPr>
          <w:p w14:paraId="3B7A8B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全球气候治理视域下的习近平生态文明思想世界意义</w:t>
            </w:r>
          </w:p>
        </w:tc>
        <w:tc>
          <w:tcPr>
            <w:tcW w:w="1148" w:type="dxa"/>
            <w:vAlign w:val="center"/>
          </w:tcPr>
          <w:p w14:paraId="783A5B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张赓</w:t>
            </w:r>
          </w:p>
        </w:tc>
        <w:tc>
          <w:tcPr>
            <w:tcW w:w="1479" w:type="dxa"/>
            <w:vAlign w:val="center"/>
          </w:tcPr>
          <w:p w14:paraId="181870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964" w:type="dxa"/>
            <w:vAlign w:val="center"/>
          </w:tcPr>
          <w:p w14:paraId="3D5481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2022，16（06）:13-18</w:t>
            </w:r>
          </w:p>
        </w:tc>
        <w:tc>
          <w:tcPr>
            <w:tcW w:w="1656" w:type="dxa"/>
            <w:vAlign w:val="center"/>
          </w:tcPr>
          <w:p w14:paraId="3722C8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294C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595843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w:t>
            </w:r>
          </w:p>
        </w:tc>
        <w:tc>
          <w:tcPr>
            <w:tcW w:w="1582" w:type="dxa"/>
            <w:vAlign w:val="center"/>
          </w:tcPr>
          <w:p w14:paraId="0934F2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夯实社区党组织建设提升为</w:t>
            </w:r>
          </w:p>
          <w:p w14:paraId="2C3B82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民服务水平</w:t>
            </w:r>
          </w:p>
        </w:tc>
        <w:tc>
          <w:tcPr>
            <w:tcW w:w="1148" w:type="dxa"/>
            <w:vAlign w:val="center"/>
          </w:tcPr>
          <w:p w14:paraId="79F287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邓集文</w:t>
            </w:r>
          </w:p>
        </w:tc>
        <w:tc>
          <w:tcPr>
            <w:tcW w:w="1479" w:type="dxa"/>
            <w:vAlign w:val="center"/>
          </w:tcPr>
          <w:p w14:paraId="400E4B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湖南日报</w:t>
            </w:r>
          </w:p>
        </w:tc>
        <w:tc>
          <w:tcPr>
            <w:tcW w:w="1964" w:type="dxa"/>
            <w:vAlign w:val="center"/>
          </w:tcPr>
          <w:p w14:paraId="6D2D9F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2022,(09)</w:t>
            </w:r>
          </w:p>
        </w:tc>
        <w:tc>
          <w:tcPr>
            <w:tcW w:w="1656" w:type="dxa"/>
            <w:vAlign w:val="center"/>
          </w:tcPr>
          <w:p w14:paraId="4BCF2E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5FB8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9" w:type="dxa"/>
            <w:vAlign w:val="center"/>
          </w:tcPr>
          <w:p w14:paraId="55B995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w:t>
            </w:r>
          </w:p>
        </w:tc>
        <w:tc>
          <w:tcPr>
            <w:tcW w:w="1582" w:type="dxa"/>
            <w:vAlign w:val="center"/>
          </w:tcPr>
          <w:p w14:paraId="1F7577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创业伦理教育融入大学创业教育体系的困境及化解路径</w:t>
            </w:r>
          </w:p>
        </w:tc>
        <w:tc>
          <w:tcPr>
            <w:tcW w:w="1148" w:type="dxa"/>
            <w:vAlign w:val="center"/>
          </w:tcPr>
          <w:p w14:paraId="13D380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1479" w:type="dxa"/>
            <w:vAlign w:val="center"/>
          </w:tcPr>
          <w:p w14:paraId="1CD2CC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创新与创业教育</w:t>
            </w:r>
          </w:p>
        </w:tc>
        <w:tc>
          <w:tcPr>
            <w:tcW w:w="1964" w:type="dxa"/>
            <w:vAlign w:val="center"/>
          </w:tcPr>
          <w:p w14:paraId="0678E8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2022,(05):</w:t>
            </w:r>
            <w:r>
              <w:rPr>
                <w:rFonts w:hint="eastAsia" w:ascii="Times New Roman" w:hAnsi="Times New Roman" w:cs="Times New Roman" w:eastAsiaTheme="majorEastAsia"/>
                <w:bCs/>
                <w:szCs w:val="21"/>
              </w:rPr>
              <w:t>95-100</w:t>
            </w:r>
          </w:p>
        </w:tc>
        <w:tc>
          <w:tcPr>
            <w:tcW w:w="1656" w:type="dxa"/>
            <w:vAlign w:val="center"/>
          </w:tcPr>
          <w:p w14:paraId="20EA83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bl>
    <w:p w14:paraId="6E8ADD6E">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hint="default" w:ascii="Times New Roman" w:hAnsi="Times New Roman" w:eastAsia="STFangsong" w:cs="Times New Roman"/>
          <w:color w:val="auto"/>
          <w:kern w:val="2"/>
          <w:szCs w:val="21"/>
          <w:lang w:val="en-US" w:eastAsia="zh-CN" w:bidi="ar-SA"/>
        </w:rPr>
      </w:pPr>
    </w:p>
    <w:p w14:paraId="5238B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科研项目情况</w:t>
      </w:r>
    </w:p>
    <w:p w14:paraId="02989A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表9  科研项目情况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892"/>
        <w:gridCol w:w="646"/>
        <w:gridCol w:w="1427"/>
        <w:gridCol w:w="961"/>
        <w:gridCol w:w="908"/>
        <w:gridCol w:w="669"/>
        <w:gridCol w:w="1175"/>
        <w:gridCol w:w="642"/>
        <w:gridCol w:w="687"/>
      </w:tblGrid>
      <w:tr w14:paraId="2E1A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Align w:val="center"/>
          </w:tcPr>
          <w:p w14:paraId="438A3E6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892" w:type="dxa"/>
            <w:vAlign w:val="center"/>
          </w:tcPr>
          <w:p w14:paraId="7F37D18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74C9E1D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来源</w:t>
            </w:r>
          </w:p>
        </w:tc>
        <w:tc>
          <w:tcPr>
            <w:tcW w:w="646" w:type="dxa"/>
            <w:vAlign w:val="center"/>
          </w:tcPr>
          <w:p w14:paraId="346F147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68EB6B9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1427" w:type="dxa"/>
            <w:vAlign w:val="center"/>
          </w:tcPr>
          <w:p w14:paraId="49421A5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项目（课题）名称</w:t>
            </w:r>
          </w:p>
        </w:tc>
        <w:tc>
          <w:tcPr>
            <w:tcW w:w="961" w:type="dxa"/>
            <w:vAlign w:val="center"/>
          </w:tcPr>
          <w:p w14:paraId="3B0A5EC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2E2A76A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编号</w:t>
            </w:r>
          </w:p>
        </w:tc>
        <w:tc>
          <w:tcPr>
            <w:tcW w:w="908" w:type="dxa"/>
            <w:vAlign w:val="center"/>
          </w:tcPr>
          <w:p w14:paraId="15961EC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负责人</w:t>
            </w:r>
          </w:p>
        </w:tc>
        <w:tc>
          <w:tcPr>
            <w:tcW w:w="669" w:type="dxa"/>
            <w:vAlign w:val="center"/>
          </w:tcPr>
          <w:p w14:paraId="2573F98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立项</w:t>
            </w:r>
          </w:p>
          <w:p w14:paraId="1458863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175" w:type="dxa"/>
            <w:vAlign w:val="center"/>
          </w:tcPr>
          <w:p w14:paraId="2F33F42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起讫</w:t>
            </w:r>
          </w:p>
          <w:p w14:paraId="0057C1D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642" w:type="dxa"/>
            <w:vAlign w:val="center"/>
          </w:tcPr>
          <w:p w14:paraId="490DB55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合同</w:t>
            </w:r>
          </w:p>
          <w:p w14:paraId="076F072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c>
          <w:tcPr>
            <w:tcW w:w="687" w:type="dxa"/>
            <w:vAlign w:val="center"/>
          </w:tcPr>
          <w:p w14:paraId="3054819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到账</w:t>
            </w:r>
          </w:p>
          <w:p w14:paraId="1888483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r>
      <w:tr w14:paraId="524F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Align w:val="center"/>
          </w:tcPr>
          <w:p w14:paraId="1E7F32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892" w:type="dxa"/>
            <w:vAlign w:val="center"/>
          </w:tcPr>
          <w:p w14:paraId="4B882D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646" w:type="dxa"/>
            <w:vAlign w:val="center"/>
          </w:tcPr>
          <w:p w14:paraId="78C271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优秀青年项目</w:t>
            </w:r>
          </w:p>
        </w:tc>
        <w:tc>
          <w:tcPr>
            <w:tcW w:w="1427" w:type="dxa"/>
            <w:vAlign w:val="center"/>
          </w:tcPr>
          <w:p w14:paraId="6419DB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我国土地经营权制度实证研究——以湖南两村调查为视角</w:t>
            </w:r>
          </w:p>
        </w:tc>
        <w:tc>
          <w:tcPr>
            <w:tcW w:w="961" w:type="dxa"/>
            <w:vAlign w:val="center"/>
          </w:tcPr>
          <w:p w14:paraId="68C901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22B0235</w:t>
            </w:r>
          </w:p>
        </w:tc>
        <w:tc>
          <w:tcPr>
            <w:tcW w:w="908" w:type="dxa"/>
            <w:vAlign w:val="center"/>
          </w:tcPr>
          <w:p w14:paraId="7D9F7C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肖楚钢</w:t>
            </w:r>
          </w:p>
        </w:tc>
        <w:tc>
          <w:tcPr>
            <w:tcW w:w="669" w:type="dxa"/>
            <w:vAlign w:val="center"/>
          </w:tcPr>
          <w:p w14:paraId="235855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c>
          <w:tcPr>
            <w:tcW w:w="1175" w:type="dxa"/>
            <w:vAlign w:val="center"/>
          </w:tcPr>
          <w:p w14:paraId="2FA61C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20221125-20241231</w:t>
            </w:r>
          </w:p>
        </w:tc>
        <w:tc>
          <w:tcPr>
            <w:tcW w:w="642" w:type="dxa"/>
            <w:vAlign w:val="center"/>
          </w:tcPr>
          <w:p w14:paraId="343853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687" w:type="dxa"/>
            <w:vAlign w:val="center"/>
          </w:tcPr>
          <w:p w14:paraId="28145683">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eastAsia="仿宋_GB2312" w:cs="Times New Roman"/>
                <w:bCs/>
                <w:color w:val="auto"/>
                <w:kern w:val="2"/>
                <w:szCs w:val="21"/>
                <w:lang w:val="en-US" w:eastAsia="zh-CN" w:bidi="ar-SA"/>
              </w:rPr>
              <w:t>/</w:t>
            </w:r>
          </w:p>
        </w:tc>
      </w:tr>
      <w:tr w14:paraId="06025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Align w:val="center"/>
          </w:tcPr>
          <w:p w14:paraId="2603A8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892" w:type="dxa"/>
            <w:vAlign w:val="center"/>
          </w:tcPr>
          <w:p w14:paraId="189F4F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646" w:type="dxa"/>
            <w:vAlign w:val="center"/>
          </w:tcPr>
          <w:p w14:paraId="4E66C6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1427" w:type="dxa"/>
            <w:vAlign w:val="center"/>
          </w:tcPr>
          <w:p w14:paraId="7BEB34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美丽乡村建设视角下湖南农村人居环境治理机制研究</w:t>
            </w:r>
          </w:p>
        </w:tc>
        <w:tc>
          <w:tcPr>
            <w:tcW w:w="961" w:type="dxa"/>
            <w:vAlign w:val="center"/>
          </w:tcPr>
          <w:p w14:paraId="5A1E4C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22C0118</w:t>
            </w:r>
          </w:p>
        </w:tc>
        <w:tc>
          <w:tcPr>
            <w:tcW w:w="908" w:type="dxa"/>
            <w:vAlign w:val="center"/>
          </w:tcPr>
          <w:p w14:paraId="10E7518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邓艳林</w:t>
            </w:r>
          </w:p>
        </w:tc>
        <w:tc>
          <w:tcPr>
            <w:tcW w:w="669" w:type="dxa"/>
            <w:vAlign w:val="center"/>
          </w:tcPr>
          <w:p w14:paraId="6EF6A6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c>
          <w:tcPr>
            <w:tcW w:w="1175" w:type="dxa"/>
            <w:vAlign w:val="center"/>
          </w:tcPr>
          <w:p w14:paraId="4C551A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20221125-20251125</w:t>
            </w:r>
          </w:p>
        </w:tc>
        <w:tc>
          <w:tcPr>
            <w:tcW w:w="642" w:type="dxa"/>
            <w:vAlign w:val="center"/>
          </w:tcPr>
          <w:p w14:paraId="7993CC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687" w:type="dxa"/>
            <w:vAlign w:val="center"/>
          </w:tcPr>
          <w:p w14:paraId="6691AFE5">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eastAsia="仿宋_GB2312" w:cs="Times New Roman"/>
                <w:bCs/>
                <w:color w:val="auto"/>
                <w:kern w:val="2"/>
                <w:szCs w:val="21"/>
                <w:lang w:val="en-US" w:eastAsia="zh-CN" w:bidi="ar-SA"/>
              </w:rPr>
              <w:t>/</w:t>
            </w:r>
          </w:p>
        </w:tc>
      </w:tr>
      <w:tr w14:paraId="2BA26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Align w:val="center"/>
          </w:tcPr>
          <w:p w14:paraId="66DE95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892" w:type="dxa"/>
            <w:vAlign w:val="center"/>
          </w:tcPr>
          <w:p w14:paraId="350975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湖南省社科基金项目</w:t>
            </w:r>
          </w:p>
        </w:tc>
        <w:tc>
          <w:tcPr>
            <w:tcW w:w="646" w:type="dxa"/>
            <w:vAlign w:val="center"/>
          </w:tcPr>
          <w:p w14:paraId="0094AB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1427" w:type="dxa"/>
            <w:vAlign w:val="center"/>
          </w:tcPr>
          <w:p w14:paraId="3600D5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民法典中国家标准的功能定位及私法效力研究</w:t>
            </w:r>
          </w:p>
        </w:tc>
        <w:tc>
          <w:tcPr>
            <w:tcW w:w="961" w:type="dxa"/>
            <w:vAlign w:val="center"/>
          </w:tcPr>
          <w:p w14:paraId="73A183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21YBA090</w:t>
            </w:r>
          </w:p>
        </w:tc>
        <w:tc>
          <w:tcPr>
            <w:tcW w:w="908" w:type="dxa"/>
            <w:vAlign w:val="center"/>
          </w:tcPr>
          <w:p w14:paraId="5E5E81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马世嫒</w:t>
            </w:r>
          </w:p>
        </w:tc>
        <w:tc>
          <w:tcPr>
            <w:tcW w:w="669" w:type="dxa"/>
            <w:vAlign w:val="center"/>
          </w:tcPr>
          <w:p w14:paraId="7BC861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c>
          <w:tcPr>
            <w:tcW w:w="1175" w:type="dxa"/>
            <w:vAlign w:val="center"/>
          </w:tcPr>
          <w:p w14:paraId="1EDB48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20220112-20241230</w:t>
            </w:r>
          </w:p>
        </w:tc>
        <w:tc>
          <w:tcPr>
            <w:tcW w:w="642" w:type="dxa"/>
            <w:vAlign w:val="center"/>
          </w:tcPr>
          <w:p w14:paraId="26A4FB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687" w:type="dxa"/>
            <w:vAlign w:val="center"/>
          </w:tcPr>
          <w:p w14:paraId="43A5D573">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eastAsia="仿宋_GB2312" w:cs="Times New Roman"/>
                <w:bCs/>
                <w:color w:val="auto"/>
                <w:kern w:val="2"/>
                <w:szCs w:val="21"/>
                <w:lang w:val="en-US" w:eastAsia="zh-CN" w:bidi="ar-SA"/>
              </w:rPr>
              <w:t>/</w:t>
            </w:r>
          </w:p>
        </w:tc>
      </w:tr>
      <w:tr w14:paraId="0A6A5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Align w:val="center"/>
          </w:tcPr>
          <w:p w14:paraId="4A4A47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892" w:type="dxa"/>
            <w:vAlign w:val="center"/>
          </w:tcPr>
          <w:p w14:paraId="76EFE4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湖南省林业局</w:t>
            </w:r>
          </w:p>
        </w:tc>
        <w:tc>
          <w:tcPr>
            <w:tcW w:w="646" w:type="dxa"/>
            <w:vAlign w:val="center"/>
          </w:tcPr>
          <w:p w14:paraId="214FFB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委托项目</w:t>
            </w:r>
          </w:p>
        </w:tc>
        <w:tc>
          <w:tcPr>
            <w:tcW w:w="1427" w:type="dxa"/>
            <w:vAlign w:val="center"/>
          </w:tcPr>
          <w:p w14:paraId="2B31CC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《湖南省公益林天然林管理办法》研究起草</w:t>
            </w:r>
          </w:p>
        </w:tc>
        <w:tc>
          <w:tcPr>
            <w:tcW w:w="961" w:type="dxa"/>
            <w:vAlign w:val="center"/>
          </w:tcPr>
          <w:p w14:paraId="4D3F8C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w:t>
            </w:r>
          </w:p>
        </w:tc>
        <w:tc>
          <w:tcPr>
            <w:tcW w:w="908" w:type="dxa"/>
            <w:vAlign w:val="center"/>
          </w:tcPr>
          <w:p w14:paraId="7982A4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9" w:type="dxa"/>
            <w:vAlign w:val="center"/>
          </w:tcPr>
          <w:p w14:paraId="38C001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c>
          <w:tcPr>
            <w:tcW w:w="1175" w:type="dxa"/>
            <w:vAlign w:val="center"/>
          </w:tcPr>
          <w:p w14:paraId="4878A5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20211221-20221230</w:t>
            </w:r>
          </w:p>
        </w:tc>
        <w:tc>
          <w:tcPr>
            <w:tcW w:w="642" w:type="dxa"/>
            <w:vAlign w:val="center"/>
          </w:tcPr>
          <w:p w14:paraId="51B45C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2.5</w:t>
            </w:r>
          </w:p>
        </w:tc>
        <w:tc>
          <w:tcPr>
            <w:tcW w:w="687" w:type="dxa"/>
            <w:vAlign w:val="center"/>
          </w:tcPr>
          <w:p w14:paraId="4F20928E">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eastAsia="仿宋_GB2312" w:cs="Times New Roman"/>
                <w:bCs/>
                <w:color w:val="auto"/>
                <w:kern w:val="2"/>
                <w:szCs w:val="21"/>
                <w:lang w:val="en-US" w:eastAsia="zh-CN" w:bidi="ar-SA"/>
              </w:rPr>
              <w:t>/</w:t>
            </w:r>
          </w:p>
        </w:tc>
      </w:tr>
    </w:tbl>
    <w:p w14:paraId="7453086C">
      <w:pPr>
        <w:keepNext w:val="0"/>
        <w:keepLines w:val="0"/>
        <w:pageBreakBefore w:val="0"/>
        <w:widowControl w:val="0"/>
        <w:kinsoku/>
        <w:wordWrap/>
        <w:overflowPunct/>
        <w:topLinePunct w:val="0"/>
        <w:bidi w:val="0"/>
        <w:adjustRightInd w:val="0"/>
        <w:spacing w:line="360" w:lineRule="exact"/>
        <w:ind w:firstLine="0" w:firstLineChars="0"/>
        <w:textAlignment w:val="auto"/>
        <w:rPr>
          <w:rFonts w:hint="default" w:ascii="Times New Roman" w:hAnsi="Times New Roman" w:eastAsia="STFangsong" w:cs="Times New Roman"/>
          <w:color w:val="auto"/>
          <w:kern w:val="2"/>
          <w:szCs w:val="21"/>
          <w:lang w:val="en-US" w:eastAsia="zh-CN" w:bidi="ar-SA"/>
        </w:rPr>
      </w:pPr>
    </w:p>
    <w:p w14:paraId="684CB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科研获奖情况</w:t>
      </w:r>
    </w:p>
    <w:p w14:paraId="6930BF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表10  科研获奖情况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5"/>
        <w:gridCol w:w="1773"/>
        <w:gridCol w:w="1112"/>
        <w:gridCol w:w="1639"/>
        <w:gridCol w:w="1161"/>
        <w:gridCol w:w="1185"/>
        <w:gridCol w:w="1003"/>
      </w:tblGrid>
      <w:tr w14:paraId="3B889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Align w:val="center"/>
          </w:tcPr>
          <w:p w14:paraId="0A9A2E8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70" w:type="dxa"/>
            <w:vAlign w:val="center"/>
          </w:tcPr>
          <w:p w14:paraId="62BB024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奖项名称</w:t>
            </w:r>
          </w:p>
        </w:tc>
        <w:tc>
          <w:tcPr>
            <w:tcW w:w="1110" w:type="dxa"/>
            <w:vAlign w:val="center"/>
          </w:tcPr>
          <w:p w14:paraId="7D30DDD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获奖等级</w:t>
            </w:r>
          </w:p>
        </w:tc>
        <w:tc>
          <w:tcPr>
            <w:tcW w:w="1636" w:type="dxa"/>
            <w:vAlign w:val="center"/>
          </w:tcPr>
          <w:p w14:paraId="44FEBD9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获奖项目名称</w:t>
            </w:r>
          </w:p>
        </w:tc>
        <w:tc>
          <w:tcPr>
            <w:tcW w:w="1159" w:type="dxa"/>
            <w:vAlign w:val="center"/>
          </w:tcPr>
          <w:p w14:paraId="7FC46CD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完成人</w:t>
            </w:r>
          </w:p>
        </w:tc>
        <w:tc>
          <w:tcPr>
            <w:tcW w:w="1183" w:type="dxa"/>
            <w:vAlign w:val="center"/>
          </w:tcPr>
          <w:p w14:paraId="2B0951A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c>
          <w:tcPr>
            <w:tcW w:w="1000" w:type="dxa"/>
            <w:vAlign w:val="center"/>
          </w:tcPr>
          <w:p w14:paraId="2605D00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w:t>
            </w:r>
          </w:p>
          <w:p w14:paraId="0F9E3AF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r>
      <w:tr w14:paraId="36107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Align w:val="center"/>
          </w:tcPr>
          <w:p w14:paraId="1AE8753A">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 w:val="21"/>
                <w:szCs w:val="21"/>
                <w:lang w:val="en-US" w:eastAsia="zh-CN" w:bidi="ar-SA"/>
              </w:rPr>
            </w:pPr>
            <w:r>
              <w:rPr>
                <w:rFonts w:hint="default" w:ascii="Times New Roman" w:hAnsi="Times New Roman" w:eastAsia="仿宋_GB2312" w:cs="Times New Roman"/>
                <w:bCs/>
                <w:color w:val="auto"/>
                <w:kern w:val="2"/>
                <w:sz w:val="21"/>
                <w:szCs w:val="21"/>
                <w:lang w:val="en-US" w:eastAsia="zh-CN" w:bidi="ar-SA"/>
              </w:rPr>
              <w:t>1</w:t>
            </w:r>
          </w:p>
        </w:tc>
        <w:tc>
          <w:tcPr>
            <w:tcW w:w="1770" w:type="dxa"/>
            <w:vAlign w:val="center"/>
          </w:tcPr>
          <w:p w14:paraId="6DFCDF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第十五届湖南省社会科学优秀成果奖</w:t>
            </w:r>
          </w:p>
        </w:tc>
        <w:tc>
          <w:tcPr>
            <w:tcW w:w="1110" w:type="dxa"/>
            <w:vAlign w:val="center"/>
          </w:tcPr>
          <w:p w14:paraId="76506A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三等奖</w:t>
            </w:r>
          </w:p>
        </w:tc>
        <w:tc>
          <w:tcPr>
            <w:tcW w:w="1636" w:type="dxa"/>
            <w:vAlign w:val="center"/>
          </w:tcPr>
          <w:p w14:paraId="3782F1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宪法上的基因权利及其保护机制研究</w:t>
            </w:r>
          </w:p>
        </w:tc>
        <w:tc>
          <w:tcPr>
            <w:tcW w:w="1159" w:type="dxa"/>
            <w:vAlign w:val="center"/>
          </w:tcPr>
          <w:p w14:paraId="259EE9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1183" w:type="dxa"/>
            <w:vAlign w:val="center"/>
          </w:tcPr>
          <w:p w14:paraId="127007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w:t>
            </w:r>
          </w:p>
        </w:tc>
        <w:tc>
          <w:tcPr>
            <w:tcW w:w="1000" w:type="dxa"/>
            <w:vAlign w:val="center"/>
          </w:tcPr>
          <w:p w14:paraId="70CDA0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r>
      <w:tr w14:paraId="3F3D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Align w:val="center"/>
          </w:tcPr>
          <w:p w14:paraId="7F9D1748">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 w:val="21"/>
                <w:szCs w:val="21"/>
                <w:lang w:val="en-US" w:eastAsia="zh-CN" w:bidi="ar-SA"/>
              </w:rPr>
            </w:pPr>
            <w:r>
              <w:rPr>
                <w:rFonts w:hint="default" w:ascii="Times New Roman" w:hAnsi="Times New Roman" w:eastAsia="仿宋_GB2312" w:cs="Times New Roman"/>
                <w:bCs/>
                <w:color w:val="auto"/>
                <w:kern w:val="2"/>
                <w:sz w:val="21"/>
                <w:szCs w:val="21"/>
                <w:lang w:val="en-US" w:eastAsia="zh-CN" w:bidi="ar-SA"/>
              </w:rPr>
              <w:t>2</w:t>
            </w:r>
          </w:p>
        </w:tc>
        <w:tc>
          <w:tcPr>
            <w:tcW w:w="1770" w:type="dxa"/>
            <w:vAlign w:val="center"/>
          </w:tcPr>
          <w:p w14:paraId="6184867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第一届全国法学生“东放明”杯模拟立法大赛</w:t>
            </w:r>
          </w:p>
        </w:tc>
        <w:tc>
          <w:tcPr>
            <w:tcW w:w="1110" w:type="dxa"/>
            <w:vAlign w:val="center"/>
          </w:tcPr>
          <w:p w14:paraId="498943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优秀奖</w:t>
            </w:r>
          </w:p>
        </w:tc>
        <w:tc>
          <w:tcPr>
            <w:tcW w:w="1636" w:type="dxa"/>
            <w:vAlign w:val="center"/>
          </w:tcPr>
          <w:p w14:paraId="744764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第一届全国法学生“东放明”杯模拟立法大赛优秀奖</w:t>
            </w:r>
          </w:p>
        </w:tc>
        <w:tc>
          <w:tcPr>
            <w:tcW w:w="1159" w:type="dxa"/>
            <w:vAlign w:val="center"/>
          </w:tcPr>
          <w:p w14:paraId="3B44D7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王蓉</w:t>
            </w:r>
          </w:p>
        </w:tc>
        <w:tc>
          <w:tcPr>
            <w:tcW w:w="1183" w:type="dxa"/>
            <w:vAlign w:val="center"/>
          </w:tcPr>
          <w:p w14:paraId="1F42BF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w:t>
            </w:r>
          </w:p>
        </w:tc>
        <w:tc>
          <w:tcPr>
            <w:tcW w:w="1000" w:type="dxa"/>
            <w:vAlign w:val="center"/>
          </w:tcPr>
          <w:p w14:paraId="20054B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r>
      <w:tr w14:paraId="31FE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Align w:val="center"/>
          </w:tcPr>
          <w:p w14:paraId="37CF8ADC">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 w:val="21"/>
                <w:szCs w:val="21"/>
                <w:lang w:val="en-US" w:eastAsia="zh-CN" w:bidi="ar-SA"/>
              </w:rPr>
            </w:pPr>
            <w:r>
              <w:rPr>
                <w:rFonts w:hint="default" w:ascii="Times New Roman" w:hAnsi="Times New Roman" w:eastAsia="仿宋_GB2312" w:cs="Times New Roman"/>
                <w:bCs/>
                <w:color w:val="auto"/>
                <w:kern w:val="2"/>
                <w:sz w:val="21"/>
                <w:szCs w:val="21"/>
                <w:lang w:val="en-US" w:eastAsia="zh-CN" w:bidi="ar-SA"/>
              </w:rPr>
              <w:t>3</w:t>
            </w:r>
          </w:p>
        </w:tc>
        <w:tc>
          <w:tcPr>
            <w:tcW w:w="1770" w:type="dxa"/>
            <w:vAlign w:val="center"/>
          </w:tcPr>
          <w:p w14:paraId="0E426E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中南林业科技研究生课程思政示范课程</w:t>
            </w:r>
          </w:p>
        </w:tc>
        <w:tc>
          <w:tcPr>
            <w:tcW w:w="1110" w:type="dxa"/>
            <w:vAlign w:val="center"/>
          </w:tcPr>
          <w:p w14:paraId="5E6603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优秀奖</w:t>
            </w:r>
          </w:p>
        </w:tc>
        <w:tc>
          <w:tcPr>
            <w:tcW w:w="1636" w:type="dxa"/>
            <w:vAlign w:val="center"/>
          </w:tcPr>
          <w:p w14:paraId="18D3E1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研究生课程思政示范项目</w:t>
            </w:r>
          </w:p>
        </w:tc>
        <w:tc>
          <w:tcPr>
            <w:tcW w:w="1159" w:type="dxa"/>
            <w:vAlign w:val="center"/>
          </w:tcPr>
          <w:p w14:paraId="328F36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1183" w:type="dxa"/>
            <w:vAlign w:val="center"/>
          </w:tcPr>
          <w:p w14:paraId="5656D1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w:t>
            </w:r>
          </w:p>
        </w:tc>
        <w:tc>
          <w:tcPr>
            <w:tcW w:w="1000" w:type="dxa"/>
            <w:vAlign w:val="center"/>
          </w:tcPr>
          <w:p w14:paraId="7DCA8D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r>
    </w:tbl>
    <w:p w14:paraId="3094E301">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仿宋_GB2312" w:cs="Times New Roman"/>
          <w:bCs/>
          <w:color w:val="auto"/>
          <w:kern w:val="2"/>
          <w:sz w:val="21"/>
          <w:szCs w:val="21"/>
          <w:lang w:val="en-US" w:eastAsia="zh-CN" w:bidi="ar-SA"/>
        </w:rPr>
      </w:pPr>
    </w:p>
    <w:p w14:paraId="6F69EC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表11  科研平台情况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863"/>
        <w:gridCol w:w="2419"/>
        <w:gridCol w:w="1708"/>
        <w:gridCol w:w="1708"/>
      </w:tblGrid>
      <w:tr w14:paraId="1CE8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40" w:type="dxa"/>
            <w:vAlign w:val="center"/>
          </w:tcPr>
          <w:p w14:paraId="08DC781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863" w:type="dxa"/>
            <w:vAlign w:val="center"/>
          </w:tcPr>
          <w:p w14:paraId="6850880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平台类别</w:t>
            </w:r>
          </w:p>
        </w:tc>
        <w:tc>
          <w:tcPr>
            <w:tcW w:w="2419" w:type="dxa"/>
            <w:vAlign w:val="center"/>
          </w:tcPr>
          <w:p w14:paraId="3C39222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平台名称</w:t>
            </w:r>
          </w:p>
        </w:tc>
        <w:tc>
          <w:tcPr>
            <w:tcW w:w="1708" w:type="dxa"/>
            <w:vAlign w:val="center"/>
          </w:tcPr>
          <w:p w14:paraId="53270FE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批准年度</w:t>
            </w:r>
          </w:p>
        </w:tc>
        <w:tc>
          <w:tcPr>
            <w:tcW w:w="1708" w:type="dxa"/>
            <w:vAlign w:val="center"/>
          </w:tcPr>
          <w:p w14:paraId="048DDDE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评估情况</w:t>
            </w:r>
          </w:p>
        </w:tc>
      </w:tr>
      <w:tr w14:paraId="46025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1FAE7D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863" w:type="dxa"/>
            <w:vAlign w:val="center"/>
          </w:tcPr>
          <w:p w14:paraId="785D46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419" w:type="dxa"/>
            <w:vAlign w:val="center"/>
          </w:tcPr>
          <w:p w14:paraId="4DED36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人权研究所</w:t>
            </w:r>
          </w:p>
        </w:tc>
        <w:tc>
          <w:tcPr>
            <w:tcW w:w="1708" w:type="dxa"/>
            <w:vAlign w:val="center"/>
          </w:tcPr>
          <w:p w14:paraId="73D664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2007</w:t>
            </w:r>
          </w:p>
        </w:tc>
        <w:tc>
          <w:tcPr>
            <w:tcW w:w="1708" w:type="dxa"/>
            <w:vAlign w:val="center"/>
          </w:tcPr>
          <w:p w14:paraId="388721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3F5B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4580FD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863" w:type="dxa"/>
            <w:vAlign w:val="center"/>
          </w:tcPr>
          <w:p w14:paraId="34BF5C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419" w:type="dxa"/>
            <w:vAlign w:val="center"/>
          </w:tcPr>
          <w:p w14:paraId="7821B4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林业法研究所</w:t>
            </w:r>
          </w:p>
        </w:tc>
        <w:tc>
          <w:tcPr>
            <w:tcW w:w="1708" w:type="dxa"/>
            <w:vAlign w:val="center"/>
          </w:tcPr>
          <w:p w14:paraId="34C73B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2017 </w:t>
            </w:r>
          </w:p>
        </w:tc>
        <w:tc>
          <w:tcPr>
            <w:tcW w:w="1708" w:type="dxa"/>
            <w:vAlign w:val="center"/>
          </w:tcPr>
          <w:p w14:paraId="37F40B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42E0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5BA667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863" w:type="dxa"/>
            <w:vAlign w:val="center"/>
          </w:tcPr>
          <w:p w14:paraId="46051F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419" w:type="dxa"/>
            <w:vAlign w:val="center"/>
          </w:tcPr>
          <w:p w14:paraId="44D5F6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环境法研究所</w:t>
            </w:r>
          </w:p>
        </w:tc>
        <w:tc>
          <w:tcPr>
            <w:tcW w:w="1708" w:type="dxa"/>
            <w:vAlign w:val="center"/>
          </w:tcPr>
          <w:p w14:paraId="29082A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2017 </w:t>
            </w:r>
          </w:p>
        </w:tc>
        <w:tc>
          <w:tcPr>
            <w:tcW w:w="1708" w:type="dxa"/>
            <w:vAlign w:val="center"/>
          </w:tcPr>
          <w:p w14:paraId="50B303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10744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3884A3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863" w:type="dxa"/>
            <w:vAlign w:val="center"/>
          </w:tcPr>
          <w:p w14:paraId="79623B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419" w:type="dxa"/>
            <w:vAlign w:val="center"/>
          </w:tcPr>
          <w:p w14:paraId="5125E4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法律实务研究所</w:t>
            </w:r>
          </w:p>
        </w:tc>
        <w:tc>
          <w:tcPr>
            <w:tcW w:w="1708" w:type="dxa"/>
            <w:vAlign w:val="center"/>
          </w:tcPr>
          <w:p w14:paraId="3B2FD4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2018 </w:t>
            </w:r>
          </w:p>
        </w:tc>
        <w:tc>
          <w:tcPr>
            <w:tcW w:w="1708" w:type="dxa"/>
            <w:vAlign w:val="center"/>
          </w:tcPr>
          <w:p w14:paraId="5DC11B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64D8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4AD0EA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863" w:type="dxa"/>
            <w:vAlign w:val="center"/>
          </w:tcPr>
          <w:p w14:paraId="73C56C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419" w:type="dxa"/>
            <w:vAlign w:val="center"/>
          </w:tcPr>
          <w:p w14:paraId="28CB7D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法学理论研究所</w:t>
            </w:r>
          </w:p>
        </w:tc>
        <w:tc>
          <w:tcPr>
            <w:tcW w:w="1708" w:type="dxa"/>
            <w:vAlign w:val="center"/>
          </w:tcPr>
          <w:p w14:paraId="0B7D39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2018 </w:t>
            </w:r>
          </w:p>
        </w:tc>
        <w:tc>
          <w:tcPr>
            <w:tcW w:w="1708" w:type="dxa"/>
            <w:vAlign w:val="center"/>
          </w:tcPr>
          <w:p w14:paraId="617D1D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6B80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23AFF5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6</w:t>
            </w:r>
          </w:p>
        </w:tc>
        <w:tc>
          <w:tcPr>
            <w:tcW w:w="1863" w:type="dxa"/>
            <w:vAlign w:val="center"/>
          </w:tcPr>
          <w:p w14:paraId="399C27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市级</w:t>
            </w:r>
          </w:p>
        </w:tc>
        <w:tc>
          <w:tcPr>
            <w:tcW w:w="2419" w:type="dxa"/>
          </w:tcPr>
          <w:p w14:paraId="23864C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长沙市天心区市域社会治理科学研究室林科大工作站</w:t>
            </w:r>
          </w:p>
        </w:tc>
        <w:tc>
          <w:tcPr>
            <w:tcW w:w="1708" w:type="dxa"/>
            <w:vAlign w:val="center"/>
          </w:tcPr>
          <w:p w14:paraId="253FAA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2020</w:t>
            </w:r>
          </w:p>
        </w:tc>
        <w:tc>
          <w:tcPr>
            <w:tcW w:w="1708" w:type="dxa"/>
            <w:vAlign w:val="center"/>
          </w:tcPr>
          <w:p w14:paraId="473420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未评估</w:t>
            </w:r>
          </w:p>
        </w:tc>
      </w:tr>
      <w:tr w14:paraId="49AD5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77F9E7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7</w:t>
            </w:r>
          </w:p>
        </w:tc>
        <w:tc>
          <w:tcPr>
            <w:tcW w:w="1863" w:type="dxa"/>
            <w:vAlign w:val="center"/>
          </w:tcPr>
          <w:p w14:paraId="5F62C3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419" w:type="dxa"/>
          </w:tcPr>
          <w:p w14:paraId="2390CB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双碳法治建设研究中心</w:t>
            </w:r>
          </w:p>
        </w:tc>
        <w:tc>
          <w:tcPr>
            <w:tcW w:w="1708" w:type="dxa"/>
            <w:vAlign w:val="center"/>
          </w:tcPr>
          <w:p w14:paraId="259903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w:t>
            </w:r>
          </w:p>
        </w:tc>
        <w:tc>
          <w:tcPr>
            <w:tcW w:w="1708" w:type="dxa"/>
            <w:vAlign w:val="center"/>
          </w:tcPr>
          <w:p w14:paraId="4A65F4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建立</w:t>
            </w:r>
          </w:p>
        </w:tc>
      </w:tr>
      <w:tr w14:paraId="56BB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0" w:type="dxa"/>
            <w:vAlign w:val="center"/>
          </w:tcPr>
          <w:p w14:paraId="7E95F1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8</w:t>
            </w:r>
          </w:p>
        </w:tc>
        <w:tc>
          <w:tcPr>
            <w:tcW w:w="1863" w:type="dxa"/>
            <w:vAlign w:val="center"/>
          </w:tcPr>
          <w:p w14:paraId="0B13BF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2419" w:type="dxa"/>
            <w:vAlign w:val="center"/>
          </w:tcPr>
          <w:p w14:paraId="497FE4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湖南绿色发展研究院</w:t>
            </w:r>
          </w:p>
        </w:tc>
        <w:tc>
          <w:tcPr>
            <w:tcW w:w="1708" w:type="dxa"/>
            <w:vAlign w:val="center"/>
          </w:tcPr>
          <w:p w14:paraId="7D2B80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2012</w:t>
            </w:r>
          </w:p>
        </w:tc>
        <w:tc>
          <w:tcPr>
            <w:tcW w:w="1708" w:type="dxa"/>
            <w:vAlign w:val="center"/>
          </w:tcPr>
          <w:p w14:paraId="301464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合格</w:t>
            </w:r>
          </w:p>
        </w:tc>
      </w:tr>
    </w:tbl>
    <w:p w14:paraId="6A2588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57DF71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社会服务情况</w:t>
      </w:r>
    </w:p>
    <w:p w14:paraId="5A4B1E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积极向社会提供法治服务，为推进全面依法治国和法治湖南建设作出了应有的贡献。</w:t>
      </w:r>
    </w:p>
    <w:p w14:paraId="4A6CCB5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 xml:space="preserve">参加立法调研论证和司法服务成效显著。周训芳、蒋兰香、王飞跃等教授受邀参加《环境保护法》《森林法》《野生动物保护法》《湿地保护法》等法律法规草案的论证和咨询工作，受邀参加最高人民法院、最高人民检察院和本地法院、检察院、仲裁委员会等组织的优秀庭审和优秀案件评选、疑难案件专家咨询论证、案件陪审、审查批准逮捕听证、仲裁以及培训授课活动，为司法实务部门提供优质法治服务，得到司法实务部门高度赞赏。 </w:t>
      </w:r>
    </w:p>
    <w:p w14:paraId="0C3B26D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组织开展普法宣传活动效果良好</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 xml:space="preserve">法学院领导共派出普法人员75人次，为农民工开展普法讲座、提供法律咨询服务活动50余次，派出法学专家赴重庆、广东、湖南、广西给9个地市林业系统干部开设森林法讲座。积极利用电视媒体开展普法教育，先后派出周训芳、蒋兰香、王飞跃、雷鑫、吴献萍、李敏、宁洁、刘雪梅等8名骨干教师担任中央电视台、湖南卫视、湖南经视、贵州广播电视台等媒体说法栏目点评嘉宾，运用群众身边的典型案例，深入浅出阐释法律适用，引导群众自觉守法、遇事找法、解决问题靠法。 </w:t>
      </w:r>
    </w:p>
    <w:p w14:paraId="154D59E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创新人才培养模式成效突出</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 xml:space="preserve">创新人才培养模式，与实务部门建立协作机制，为学生搭建社会实践平台，培养复合型高素质法律人才。在长沙市雨花区法院、芙蓉区法院、宁远县法院等司法机构建立学生实习实训基地，与湖南省知识产权局合作创办知识产权教育平台，充分运用实务专家资源培养复合型法律人才，参加实习实训学生的实务能力普遍得到大幅提高。 </w:t>
      </w:r>
    </w:p>
    <w:p w14:paraId="0035934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参与“双千计划”培养师资取得双赢效果</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近五年来，派出5名法学骨干教师到实务部门挂职，同时，接受5名实务专家到</w:t>
      </w:r>
      <w:r>
        <w:rPr>
          <w:rFonts w:hint="default" w:ascii="Times New Roman" w:hAnsi="Times New Roman" w:cs="Times New Roman"/>
          <w:i w:val="0"/>
          <w:iCs w:val="0"/>
          <w:color w:val="auto"/>
          <w:kern w:val="2"/>
          <w:sz w:val="24"/>
          <w:szCs w:val="24"/>
          <w:lang w:val="en-US" w:eastAsia="zh-CN" w:bidi="ar-SA"/>
        </w:rPr>
        <w:t>法学院</w:t>
      </w:r>
      <w:r>
        <w:rPr>
          <w:rFonts w:hint="default" w:ascii="Times New Roman" w:hAnsi="Times New Roman" w:eastAsia="SimSun" w:cs="Times New Roman"/>
          <w:i w:val="0"/>
          <w:iCs w:val="0"/>
          <w:color w:val="auto"/>
          <w:kern w:val="2"/>
          <w:sz w:val="24"/>
          <w:szCs w:val="24"/>
          <w:lang w:val="en-US" w:eastAsia="zh-CN" w:bidi="ar-SA"/>
        </w:rPr>
        <w:t>挂职授课，取得了理论与实务双赢效果。阳永恒在湖南省司法厅挂职期间，表现突出，被荣记三等功。</w:t>
      </w:r>
    </w:p>
    <w:p w14:paraId="1EF3746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1" w:name="_Toc19095"/>
      <w:r>
        <w:rPr>
          <w:rFonts w:hint="default" w:ascii="Times New Roman" w:hAnsi="Times New Roman" w:eastAsia="SimHei" w:cs="Times New Roman"/>
          <w:b w:val="0"/>
          <w:bCs w:val="0"/>
          <w:i w:val="0"/>
          <w:iCs w:val="0"/>
          <w:color w:val="auto"/>
          <w:kern w:val="2"/>
          <w:sz w:val="28"/>
          <w:szCs w:val="28"/>
          <w:lang w:val="en-US" w:eastAsia="zh-CN" w:bidi="ar-SA"/>
        </w:rPr>
        <w:t>（四）国际合作交流</w:t>
      </w:r>
      <w:bookmarkEnd w:id="11"/>
    </w:p>
    <w:p w14:paraId="6A708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教师国际合作交流</w:t>
      </w:r>
    </w:p>
    <w:p w14:paraId="54A9212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000000"/>
          <w:kern w:val="2"/>
          <w:szCs w:val="21"/>
          <w:lang w:val="en-US" w:eastAsia="zh-CN" w:bidi="ar-SA"/>
        </w:rPr>
      </w:pPr>
      <w:r>
        <w:rPr>
          <w:rFonts w:hint="default" w:ascii="Times New Roman" w:hAnsi="Times New Roman" w:cs="Times New Roman" w:eastAsiaTheme="majorEastAsia"/>
          <w:b/>
          <w:i w:val="0"/>
          <w:iCs w:val="0"/>
          <w:color w:val="000000"/>
          <w:kern w:val="2"/>
          <w:szCs w:val="21"/>
          <w:lang w:val="en-US" w:eastAsia="zh-CN" w:bidi="ar-SA"/>
        </w:rPr>
        <w:t>表12 教师赴境外学习情况</w:t>
      </w:r>
    </w:p>
    <w:tbl>
      <w:tblPr>
        <w:tblStyle w:val="7"/>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3"/>
        <w:gridCol w:w="1323"/>
        <w:gridCol w:w="1073"/>
        <w:gridCol w:w="1318"/>
        <w:gridCol w:w="1285"/>
        <w:gridCol w:w="1232"/>
        <w:gridCol w:w="1484"/>
      </w:tblGrid>
      <w:tr w14:paraId="7E1C24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top"/>
          </w:tcPr>
          <w:p w14:paraId="139F02FD">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序号</w:t>
            </w:r>
          </w:p>
        </w:tc>
        <w:tc>
          <w:tcPr>
            <w:tcW w:w="1313" w:type="dxa"/>
            <w:vAlign w:val="top"/>
          </w:tcPr>
          <w:p w14:paraId="3FD87ED2">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教师姓名</w:t>
            </w:r>
          </w:p>
        </w:tc>
        <w:tc>
          <w:tcPr>
            <w:tcW w:w="1065" w:type="dxa"/>
            <w:vAlign w:val="top"/>
          </w:tcPr>
          <w:p w14:paraId="2A44360D">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职称</w:t>
            </w:r>
          </w:p>
        </w:tc>
        <w:tc>
          <w:tcPr>
            <w:tcW w:w="1308" w:type="dxa"/>
            <w:vAlign w:val="top"/>
          </w:tcPr>
          <w:p w14:paraId="7980B1C8">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学习单位</w:t>
            </w:r>
          </w:p>
        </w:tc>
        <w:tc>
          <w:tcPr>
            <w:tcW w:w="1275" w:type="dxa"/>
            <w:vAlign w:val="top"/>
          </w:tcPr>
          <w:p w14:paraId="59505D88">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地点</w:t>
            </w:r>
          </w:p>
        </w:tc>
        <w:tc>
          <w:tcPr>
            <w:tcW w:w="1222" w:type="dxa"/>
            <w:vAlign w:val="top"/>
          </w:tcPr>
          <w:p w14:paraId="6167AAEA">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起止时间</w:t>
            </w:r>
          </w:p>
        </w:tc>
        <w:tc>
          <w:tcPr>
            <w:tcW w:w="1472" w:type="dxa"/>
            <w:vAlign w:val="top"/>
          </w:tcPr>
          <w:p w14:paraId="586E8861">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t>资助方式</w:t>
            </w:r>
          </w:p>
        </w:tc>
      </w:tr>
      <w:tr w14:paraId="00BBAB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top"/>
          </w:tcPr>
          <w:p w14:paraId="27A172F1">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val="0"/>
                <w:bCs w:val="0"/>
                <w:i w:val="0"/>
                <w:iCs w:val="0"/>
                <w:color w:val="000000" w:themeColor="text1"/>
                <w:kern w:val="2"/>
                <w:szCs w:val="21"/>
                <w:lang w:val="en-US" w:eastAsia="zh-CN" w:bidi="ar-SA"/>
                <w14:textFill>
                  <w14:solidFill>
                    <w14:schemeClr w14:val="tx1"/>
                  </w14:solidFill>
                </w14:textFill>
              </w:rPr>
              <w:t>1</w:t>
            </w:r>
          </w:p>
        </w:tc>
        <w:tc>
          <w:tcPr>
            <w:tcW w:w="1313" w:type="dxa"/>
            <w:vAlign w:val="top"/>
          </w:tcPr>
          <w:p w14:paraId="23D642A7">
            <w:pPr>
              <w:autoSpaceDE w:val="0"/>
              <w:autoSpaceDN w:val="0"/>
              <w:adjustRightInd w:val="0"/>
              <w:jc w:val="center"/>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r>
              <w:rPr>
                <w:rFonts w:hint="default" w:ascii="Times New Roman" w:hAnsi="Times New Roman" w:cs="Times New Roman" w:eastAsiaTheme="majorEastAsia"/>
                <w:b w:val="0"/>
                <w:bCs w:val="0"/>
                <w:i w:val="0"/>
                <w:iCs w:val="0"/>
                <w:color w:val="000000" w:themeColor="text1"/>
                <w:kern w:val="2"/>
                <w:szCs w:val="21"/>
                <w:lang w:val="en-US" w:eastAsia="zh-CN" w:bidi="ar-SA"/>
                <w14:textFill>
                  <w14:solidFill>
                    <w14:schemeClr w14:val="tx1"/>
                  </w14:solidFill>
                </w14:textFill>
              </w:rPr>
              <w:t>无</w:t>
            </w:r>
          </w:p>
        </w:tc>
        <w:tc>
          <w:tcPr>
            <w:tcW w:w="1065" w:type="dxa"/>
            <w:vAlign w:val="top"/>
          </w:tcPr>
          <w:p w14:paraId="7F742ACD">
            <w:pPr>
              <w:autoSpaceDE w:val="0"/>
              <w:autoSpaceDN w:val="0"/>
              <w:adjustRightInd w:val="0"/>
              <w:jc w:val="left"/>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p>
        </w:tc>
        <w:tc>
          <w:tcPr>
            <w:tcW w:w="1308" w:type="dxa"/>
            <w:vAlign w:val="top"/>
          </w:tcPr>
          <w:p w14:paraId="793C2A77">
            <w:pPr>
              <w:autoSpaceDE w:val="0"/>
              <w:autoSpaceDN w:val="0"/>
              <w:adjustRightInd w:val="0"/>
              <w:jc w:val="left"/>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p>
        </w:tc>
        <w:tc>
          <w:tcPr>
            <w:tcW w:w="1275" w:type="dxa"/>
            <w:vAlign w:val="top"/>
          </w:tcPr>
          <w:p w14:paraId="0BA0E7CB">
            <w:pPr>
              <w:autoSpaceDE w:val="0"/>
              <w:autoSpaceDN w:val="0"/>
              <w:adjustRightInd w:val="0"/>
              <w:jc w:val="left"/>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p>
        </w:tc>
        <w:tc>
          <w:tcPr>
            <w:tcW w:w="1222" w:type="dxa"/>
            <w:vAlign w:val="top"/>
          </w:tcPr>
          <w:p w14:paraId="20F9AAE1">
            <w:pPr>
              <w:autoSpaceDE w:val="0"/>
              <w:autoSpaceDN w:val="0"/>
              <w:adjustRightInd w:val="0"/>
              <w:jc w:val="left"/>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p>
        </w:tc>
        <w:tc>
          <w:tcPr>
            <w:tcW w:w="1472" w:type="dxa"/>
            <w:vAlign w:val="top"/>
          </w:tcPr>
          <w:p w14:paraId="265688E8">
            <w:pPr>
              <w:autoSpaceDE w:val="0"/>
              <w:autoSpaceDN w:val="0"/>
              <w:adjustRightInd w:val="0"/>
              <w:jc w:val="left"/>
              <w:rPr>
                <w:rFonts w:hint="default" w:ascii="Times New Roman" w:hAnsi="Times New Roman" w:cs="Times New Roman" w:eastAsiaTheme="majorEastAsia"/>
                <w:b/>
                <w:bCs/>
                <w:i w:val="0"/>
                <w:iCs w:val="0"/>
                <w:color w:val="000000" w:themeColor="text1"/>
                <w:kern w:val="2"/>
                <w:szCs w:val="21"/>
                <w:lang w:val="en-US" w:eastAsia="zh-CN" w:bidi="ar-SA"/>
                <w14:textFill>
                  <w14:solidFill>
                    <w14:schemeClr w14:val="tx1"/>
                  </w14:solidFill>
                </w14:textFill>
              </w:rPr>
            </w:pPr>
          </w:p>
        </w:tc>
      </w:tr>
    </w:tbl>
    <w:p w14:paraId="3F708E9E">
      <w:pPr>
        <w:keepNext w:val="0"/>
        <w:keepLines w:val="0"/>
        <w:pageBreakBefore w:val="0"/>
        <w:kinsoku/>
        <w:wordWrap/>
        <w:topLinePunct w:val="0"/>
        <w:autoSpaceDE w:val="0"/>
        <w:autoSpaceDN w:val="0"/>
        <w:bidi w:val="0"/>
        <w:adjustRightInd w:val="0"/>
        <w:spacing w:line="480" w:lineRule="exact"/>
        <w:jc w:val="center"/>
        <w:rPr>
          <w:rFonts w:hint="default" w:ascii="Times New Roman" w:hAnsi="Times New Roman" w:eastAsia="STFangsong" w:cs="Times New Roman"/>
          <w:b/>
          <w:color w:val="auto"/>
          <w:kern w:val="2"/>
          <w:szCs w:val="21"/>
          <w:lang w:val="en-US" w:eastAsia="zh-CN" w:bidi="ar-SA"/>
        </w:rPr>
      </w:pPr>
    </w:p>
    <w:p w14:paraId="43F710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表13  教师参加境外学术会议情况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1020"/>
        <w:gridCol w:w="835"/>
        <w:gridCol w:w="1527"/>
        <w:gridCol w:w="851"/>
        <w:gridCol w:w="698"/>
        <w:gridCol w:w="1091"/>
        <w:gridCol w:w="1509"/>
      </w:tblGrid>
      <w:tr w14:paraId="6431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97" w:type="dxa"/>
            <w:vAlign w:val="center"/>
          </w:tcPr>
          <w:p w14:paraId="60015CF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020" w:type="dxa"/>
            <w:vAlign w:val="center"/>
          </w:tcPr>
          <w:p w14:paraId="1AA7350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w:t>
            </w:r>
          </w:p>
          <w:p w14:paraId="4A78C19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835" w:type="dxa"/>
            <w:vAlign w:val="center"/>
          </w:tcPr>
          <w:p w14:paraId="023B3BD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1527" w:type="dxa"/>
            <w:vAlign w:val="center"/>
          </w:tcPr>
          <w:p w14:paraId="3F44CA0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w:t>
            </w:r>
          </w:p>
          <w:p w14:paraId="3C7A797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名称</w:t>
            </w:r>
          </w:p>
        </w:tc>
        <w:tc>
          <w:tcPr>
            <w:tcW w:w="851" w:type="dxa"/>
            <w:vAlign w:val="center"/>
          </w:tcPr>
          <w:p w14:paraId="6750453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w:t>
            </w:r>
          </w:p>
          <w:p w14:paraId="74F3ECD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级别</w:t>
            </w:r>
          </w:p>
        </w:tc>
        <w:tc>
          <w:tcPr>
            <w:tcW w:w="698" w:type="dxa"/>
            <w:vAlign w:val="center"/>
          </w:tcPr>
          <w:p w14:paraId="2197943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091" w:type="dxa"/>
            <w:vAlign w:val="center"/>
          </w:tcPr>
          <w:p w14:paraId="5E18D9C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509" w:type="dxa"/>
            <w:vAlign w:val="center"/>
          </w:tcPr>
          <w:p w14:paraId="7696F8E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报告名称及形式</w:t>
            </w:r>
          </w:p>
        </w:tc>
      </w:tr>
      <w:tr w14:paraId="4B8E2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dxa"/>
            <w:vAlign w:val="center"/>
          </w:tcPr>
          <w:p w14:paraId="75E24D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020" w:type="dxa"/>
            <w:vAlign w:val="center"/>
          </w:tcPr>
          <w:p w14:paraId="391459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835" w:type="dxa"/>
            <w:vAlign w:val="center"/>
          </w:tcPr>
          <w:p w14:paraId="3247EB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527" w:type="dxa"/>
            <w:vAlign w:val="center"/>
          </w:tcPr>
          <w:p w14:paraId="4F6999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发展中国家林业部政府官员国际会议</w:t>
            </w:r>
          </w:p>
        </w:tc>
        <w:tc>
          <w:tcPr>
            <w:tcW w:w="851" w:type="dxa"/>
            <w:vAlign w:val="center"/>
          </w:tcPr>
          <w:p w14:paraId="207D6E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国家级</w:t>
            </w:r>
          </w:p>
        </w:tc>
        <w:tc>
          <w:tcPr>
            <w:tcW w:w="698" w:type="dxa"/>
            <w:vAlign w:val="center"/>
          </w:tcPr>
          <w:p w14:paraId="03CFE4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线上</w:t>
            </w:r>
          </w:p>
        </w:tc>
        <w:tc>
          <w:tcPr>
            <w:tcW w:w="1091" w:type="dxa"/>
            <w:vAlign w:val="center"/>
          </w:tcPr>
          <w:p w14:paraId="5B2F6C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20220530</w:t>
            </w:r>
          </w:p>
        </w:tc>
        <w:tc>
          <w:tcPr>
            <w:tcW w:w="1509" w:type="dxa"/>
            <w:vAlign w:val="center"/>
          </w:tcPr>
          <w:p w14:paraId="619F67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“forest law in China”主题报告，报告人</w:t>
            </w:r>
          </w:p>
        </w:tc>
      </w:tr>
      <w:tr w14:paraId="40D4F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dxa"/>
            <w:vAlign w:val="center"/>
          </w:tcPr>
          <w:p w14:paraId="2E4688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020" w:type="dxa"/>
            <w:vAlign w:val="center"/>
          </w:tcPr>
          <w:p w14:paraId="4232C8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835" w:type="dxa"/>
            <w:vAlign w:val="center"/>
          </w:tcPr>
          <w:p w14:paraId="056DB6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527" w:type="dxa"/>
            <w:vAlign w:val="center"/>
          </w:tcPr>
          <w:p w14:paraId="494F6A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rPr>
              <w:t>发展中国家履行《联合国森林文书》国际会议</w:t>
            </w:r>
          </w:p>
        </w:tc>
        <w:tc>
          <w:tcPr>
            <w:tcW w:w="851" w:type="dxa"/>
            <w:vAlign w:val="center"/>
          </w:tcPr>
          <w:p w14:paraId="4C356F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国家级</w:t>
            </w:r>
          </w:p>
        </w:tc>
        <w:tc>
          <w:tcPr>
            <w:tcW w:w="698" w:type="dxa"/>
            <w:vAlign w:val="center"/>
          </w:tcPr>
          <w:p w14:paraId="723FCA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线上</w:t>
            </w:r>
          </w:p>
        </w:tc>
        <w:tc>
          <w:tcPr>
            <w:tcW w:w="1091" w:type="dxa"/>
            <w:vAlign w:val="center"/>
          </w:tcPr>
          <w:p w14:paraId="3165D6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20220729</w:t>
            </w:r>
          </w:p>
        </w:tc>
        <w:tc>
          <w:tcPr>
            <w:tcW w:w="1509" w:type="dxa"/>
            <w:vAlign w:val="center"/>
          </w:tcPr>
          <w:p w14:paraId="295A8F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cs="Times New Roman" w:eastAsiaTheme="majorEastAsia"/>
                <w:bCs/>
                <w:color w:val="auto"/>
                <w:sz w:val="21"/>
                <w:szCs w:val="21"/>
                <w:lang w:val="en-US" w:eastAsia="zh-CN"/>
              </w:rPr>
              <w:t>“forest law in China”主题报告，报告人</w:t>
            </w:r>
          </w:p>
        </w:tc>
      </w:tr>
      <w:tr w14:paraId="6BFC7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dxa"/>
            <w:vAlign w:val="center"/>
          </w:tcPr>
          <w:p w14:paraId="05BCB47C">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3</w:t>
            </w:r>
          </w:p>
        </w:tc>
        <w:tc>
          <w:tcPr>
            <w:tcW w:w="1020" w:type="dxa"/>
            <w:vAlign w:val="center"/>
          </w:tcPr>
          <w:p w14:paraId="2CCC867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李剑</w:t>
            </w:r>
          </w:p>
        </w:tc>
        <w:tc>
          <w:tcPr>
            <w:tcW w:w="835" w:type="dxa"/>
            <w:vAlign w:val="center"/>
          </w:tcPr>
          <w:p w14:paraId="77FCAF7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讲师</w:t>
            </w:r>
          </w:p>
        </w:tc>
        <w:tc>
          <w:tcPr>
            <w:tcW w:w="1527" w:type="dxa"/>
            <w:vAlign w:val="center"/>
          </w:tcPr>
          <w:p w14:paraId="329FD9BB">
            <w:pPr>
              <w:adjustRightInd w:val="0"/>
              <w:snapToGrid w:val="0"/>
              <w:spacing w:line="360" w:lineRule="exact"/>
              <w:jc w:val="center"/>
              <w:rPr>
                <w:rFonts w:hint="default" w:ascii="Times New Roman" w:hAnsi="Times New Roman" w:cs="Times New Roman"/>
              </w:rPr>
            </w:pPr>
            <w:r>
              <w:rPr>
                <w:rFonts w:hint="eastAsia" w:ascii="Times New Roman" w:hAnsi="Times New Roman" w:cs="Times New Roman" w:eastAsiaTheme="majorEastAsia"/>
                <w:bCs/>
                <w:szCs w:val="21"/>
              </w:rPr>
              <w:t>气候变化诉讼：第一届中德气候法与可持续发展研讨会</w:t>
            </w:r>
          </w:p>
        </w:tc>
        <w:tc>
          <w:tcPr>
            <w:tcW w:w="851" w:type="dxa"/>
            <w:vAlign w:val="center"/>
          </w:tcPr>
          <w:p w14:paraId="08E3231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国际</w:t>
            </w:r>
          </w:p>
        </w:tc>
        <w:tc>
          <w:tcPr>
            <w:tcW w:w="698" w:type="dxa"/>
            <w:vAlign w:val="center"/>
          </w:tcPr>
          <w:p w14:paraId="0A7A975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线上</w:t>
            </w:r>
          </w:p>
        </w:tc>
        <w:tc>
          <w:tcPr>
            <w:tcW w:w="1091" w:type="dxa"/>
            <w:vAlign w:val="center"/>
          </w:tcPr>
          <w:p w14:paraId="67EF6C0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20221202</w:t>
            </w:r>
          </w:p>
        </w:tc>
        <w:tc>
          <w:tcPr>
            <w:tcW w:w="1509" w:type="dxa"/>
            <w:vAlign w:val="center"/>
          </w:tcPr>
          <w:p w14:paraId="35F50C9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参会</w:t>
            </w:r>
          </w:p>
        </w:tc>
      </w:tr>
      <w:tr w14:paraId="7E71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dxa"/>
            <w:vAlign w:val="center"/>
          </w:tcPr>
          <w:p w14:paraId="427C484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4</w:t>
            </w:r>
          </w:p>
        </w:tc>
        <w:tc>
          <w:tcPr>
            <w:tcW w:w="1020" w:type="dxa"/>
            <w:vAlign w:val="center"/>
          </w:tcPr>
          <w:p w14:paraId="750C5B8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白越</w:t>
            </w:r>
          </w:p>
        </w:tc>
        <w:tc>
          <w:tcPr>
            <w:tcW w:w="835" w:type="dxa"/>
            <w:vAlign w:val="center"/>
          </w:tcPr>
          <w:p w14:paraId="5C8BB23C">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讲师</w:t>
            </w:r>
          </w:p>
        </w:tc>
        <w:tc>
          <w:tcPr>
            <w:tcW w:w="1527" w:type="dxa"/>
            <w:vAlign w:val="center"/>
          </w:tcPr>
          <w:p w14:paraId="343F0B0B">
            <w:pPr>
              <w:adjustRightInd w:val="0"/>
              <w:snapToGrid w:val="0"/>
              <w:spacing w:line="360" w:lineRule="exact"/>
              <w:jc w:val="center"/>
              <w:rPr>
                <w:rFonts w:hint="default" w:ascii="Times New Roman" w:hAnsi="Times New Roman" w:cs="Times New Roman"/>
              </w:rPr>
            </w:pPr>
            <w:r>
              <w:rPr>
                <w:rFonts w:hint="eastAsia" w:ascii="Times New Roman" w:hAnsi="Times New Roman" w:cs="Times New Roman" w:eastAsiaTheme="majorEastAsia"/>
                <w:bCs/>
                <w:szCs w:val="21"/>
              </w:rPr>
              <w:t>气候变化诉讼：第一届中德气候法与可持续发展研讨会</w:t>
            </w:r>
          </w:p>
        </w:tc>
        <w:tc>
          <w:tcPr>
            <w:tcW w:w="851" w:type="dxa"/>
            <w:vAlign w:val="center"/>
          </w:tcPr>
          <w:p w14:paraId="4FE5C2F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国际</w:t>
            </w:r>
          </w:p>
        </w:tc>
        <w:tc>
          <w:tcPr>
            <w:tcW w:w="698" w:type="dxa"/>
            <w:vAlign w:val="center"/>
          </w:tcPr>
          <w:p w14:paraId="79BB129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线上</w:t>
            </w:r>
          </w:p>
        </w:tc>
        <w:tc>
          <w:tcPr>
            <w:tcW w:w="1091" w:type="dxa"/>
            <w:vAlign w:val="center"/>
          </w:tcPr>
          <w:p w14:paraId="54907EE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20221202</w:t>
            </w:r>
          </w:p>
        </w:tc>
        <w:tc>
          <w:tcPr>
            <w:tcW w:w="1509" w:type="dxa"/>
            <w:vAlign w:val="center"/>
          </w:tcPr>
          <w:p w14:paraId="49383D4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参会</w:t>
            </w:r>
          </w:p>
        </w:tc>
      </w:tr>
      <w:tr w14:paraId="7CDD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7" w:type="dxa"/>
            <w:vAlign w:val="center"/>
          </w:tcPr>
          <w:p w14:paraId="3413643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5</w:t>
            </w:r>
          </w:p>
        </w:tc>
        <w:tc>
          <w:tcPr>
            <w:tcW w:w="1020" w:type="dxa"/>
            <w:vAlign w:val="center"/>
          </w:tcPr>
          <w:p w14:paraId="79348EE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郑勇</w:t>
            </w:r>
          </w:p>
        </w:tc>
        <w:tc>
          <w:tcPr>
            <w:tcW w:w="835" w:type="dxa"/>
            <w:vAlign w:val="center"/>
          </w:tcPr>
          <w:p w14:paraId="586BD6D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讲师</w:t>
            </w:r>
          </w:p>
        </w:tc>
        <w:tc>
          <w:tcPr>
            <w:tcW w:w="1527" w:type="dxa"/>
            <w:vAlign w:val="center"/>
          </w:tcPr>
          <w:p w14:paraId="72DFB6AD">
            <w:pPr>
              <w:adjustRightInd w:val="0"/>
              <w:snapToGrid w:val="0"/>
              <w:spacing w:line="360" w:lineRule="exact"/>
              <w:jc w:val="center"/>
              <w:rPr>
                <w:rFonts w:hint="default" w:ascii="Times New Roman" w:hAnsi="Times New Roman" w:cs="Times New Roman"/>
              </w:rPr>
            </w:pPr>
            <w:r>
              <w:rPr>
                <w:rFonts w:hint="eastAsia" w:ascii="Times New Roman" w:hAnsi="Times New Roman" w:cs="Times New Roman" w:eastAsiaTheme="majorEastAsia"/>
                <w:bCs/>
                <w:szCs w:val="21"/>
              </w:rPr>
              <w:t>气候变化诉讼：第一届中德气候法与可持续发展研讨会</w:t>
            </w:r>
          </w:p>
        </w:tc>
        <w:tc>
          <w:tcPr>
            <w:tcW w:w="851" w:type="dxa"/>
            <w:vAlign w:val="center"/>
          </w:tcPr>
          <w:p w14:paraId="48EFDDC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国际</w:t>
            </w:r>
          </w:p>
        </w:tc>
        <w:tc>
          <w:tcPr>
            <w:tcW w:w="698" w:type="dxa"/>
            <w:vAlign w:val="center"/>
          </w:tcPr>
          <w:p w14:paraId="050C65D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线上</w:t>
            </w:r>
          </w:p>
        </w:tc>
        <w:tc>
          <w:tcPr>
            <w:tcW w:w="1091" w:type="dxa"/>
            <w:vAlign w:val="center"/>
          </w:tcPr>
          <w:p w14:paraId="0956EC1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20221202</w:t>
            </w:r>
          </w:p>
        </w:tc>
        <w:tc>
          <w:tcPr>
            <w:tcW w:w="1509" w:type="dxa"/>
            <w:vAlign w:val="center"/>
          </w:tcPr>
          <w:p w14:paraId="177BC23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参会</w:t>
            </w:r>
          </w:p>
        </w:tc>
      </w:tr>
    </w:tbl>
    <w:p w14:paraId="5F382D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1C76BE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学生国际合作交流</w:t>
      </w:r>
    </w:p>
    <w:p w14:paraId="052366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表14  学生赴境内外学习情况</w:t>
      </w:r>
    </w:p>
    <w:tbl>
      <w:tblPr>
        <w:tblStyle w:val="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1323"/>
        <w:gridCol w:w="1073"/>
        <w:gridCol w:w="1318"/>
        <w:gridCol w:w="1285"/>
        <w:gridCol w:w="1232"/>
        <w:gridCol w:w="1484"/>
      </w:tblGrid>
      <w:tr w14:paraId="29FE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5B454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313" w:type="dxa"/>
            <w:vAlign w:val="center"/>
          </w:tcPr>
          <w:p w14:paraId="15A5D48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学生姓名</w:t>
            </w:r>
          </w:p>
        </w:tc>
        <w:tc>
          <w:tcPr>
            <w:tcW w:w="1065" w:type="dxa"/>
            <w:vAlign w:val="center"/>
          </w:tcPr>
          <w:p w14:paraId="261F365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层次（博士/硕士）</w:t>
            </w:r>
          </w:p>
        </w:tc>
        <w:tc>
          <w:tcPr>
            <w:tcW w:w="1308" w:type="dxa"/>
            <w:vAlign w:val="center"/>
          </w:tcPr>
          <w:p w14:paraId="073311B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学习单位</w:t>
            </w:r>
          </w:p>
        </w:tc>
        <w:tc>
          <w:tcPr>
            <w:tcW w:w="1275" w:type="dxa"/>
            <w:vAlign w:val="center"/>
          </w:tcPr>
          <w:p w14:paraId="3E36CEF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222" w:type="dxa"/>
            <w:vAlign w:val="center"/>
          </w:tcPr>
          <w:p w14:paraId="02B1696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起止时间</w:t>
            </w:r>
          </w:p>
        </w:tc>
        <w:tc>
          <w:tcPr>
            <w:tcW w:w="1472" w:type="dxa"/>
            <w:vAlign w:val="center"/>
          </w:tcPr>
          <w:p w14:paraId="2782B17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资助方式</w:t>
            </w:r>
          </w:p>
        </w:tc>
      </w:tr>
      <w:tr w14:paraId="41D3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0F9EB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313" w:type="dxa"/>
          </w:tcPr>
          <w:p w14:paraId="6667AC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无</w:t>
            </w:r>
          </w:p>
        </w:tc>
        <w:tc>
          <w:tcPr>
            <w:tcW w:w="1065" w:type="dxa"/>
          </w:tcPr>
          <w:p w14:paraId="0FC138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308" w:type="dxa"/>
          </w:tcPr>
          <w:p w14:paraId="2A3A8C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275" w:type="dxa"/>
          </w:tcPr>
          <w:p w14:paraId="037727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222" w:type="dxa"/>
          </w:tcPr>
          <w:p w14:paraId="2E6AE0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472" w:type="dxa"/>
          </w:tcPr>
          <w:p w14:paraId="619B7A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bl>
    <w:p w14:paraId="63C6102C">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eastAsiaTheme="minorEastAsia"/>
          <w:b w:val="0"/>
          <w:bCs/>
          <w:color w:val="auto"/>
          <w:kern w:val="2"/>
          <w:sz w:val="24"/>
          <w:szCs w:val="24"/>
          <w:lang w:val="en-US" w:eastAsia="zh-CN" w:bidi="ar-SA"/>
        </w:rPr>
      </w:pPr>
      <w:bookmarkStart w:id="12" w:name="_Toc29191"/>
    </w:p>
    <w:p w14:paraId="6E0EF7D6">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r>
        <w:rPr>
          <w:rFonts w:hint="default" w:ascii="Times New Roman" w:hAnsi="Times New Roman" w:eastAsia="SimHei" w:cs="Times New Roman"/>
          <w:b w:val="0"/>
          <w:bCs/>
          <w:color w:val="auto"/>
          <w:kern w:val="2"/>
          <w:sz w:val="30"/>
          <w:szCs w:val="30"/>
          <w:lang w:val="en-US" w:eastAsia="zh-CN" w:bidi="ar-SA"/>
        </w:rPr>
        <w:t>三、质量保障措施</w:t>
      </w:r>
      <w:bookmarkEnd w:id="12"/>
    </w:p>
    <w:p w14:paraId="28373CA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3" w:name="_Toc3473"/>
      <w:r>
        <w:rPr>
          <w:rFonts w:hint="default" w:ascii="Times New Roman" w:hAnsi="Times New Roman" w:eastAsia="SimHei" w:cs="Times New Roman"/>
          <w:b w:val="0"/>
          <w:bCs w:val="0"/>
          <w:i w:val="0"/>
          <w:iCs w:val="0"/>
          <w:color w:val="auto"/>
          <w:kern w:val="2"/>
          <w:sz w:val="28"/>
          <w:szCs w:val="28"/>
          <w:lang w:val="en-US" w:eastAsia="zh-CN" w:bidi="ar-SA"/>
        </w:rPr>
        <w:t>（一）导师指导</w:t>
      </w:r>
      <w:bookmarkEnd w:id="13"/>
    </w:p>
    <w:p w14:paraId="263918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严格按照中南林业科技大学研究生指导教师管理办法，进行导师遴选、培训和考核。要求导师从制定详细的培养方案，到研究选题、开题报告、中期检查，再到论文送审、论文答辩等各个环节，均要做到规范化与科学化。所有导师均能认真执行硕士研究生指导制度。本学位点导师均能履行职责，考核均合格。</w:t>
      </w:r>
    </w:p>
    <w:p w14:paraId="29B5824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4" w:name="_Toc1938"/>
      <w:r>
        <w:rPr>
          <w:rFonts w:hint="default" w:ascii="Times New Roman" w:hAnsi="Times New Roman" w:eastAsia="SimHei" w:cs="Times New Roman"/>
          <w:b w:val="0"/>
          <w:bCs w:val="0"/>
          <w:i w:val="0"/>
          <w:iCs w:val="0"/>
          <w:color w:val="auto"/>
          <w:kern w:val="2"/>
          <w:sz w:val="28"/>
          <w:szCs w:val="28"/>
          <w:lang w:val="en-US" w:eastAsia="zh-CN" w:bidi="ar-SA"/>
        </w:rPr>
        <w:t>（二）学风建设</w:t>
      </w:r>
      <w:bookmarkEnd w:id="14"/>
    </w:p>
    <w:p w14:paraId="4F67FD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定期开展科学道德和学术规范教育，要求全体导师和学生恪守学术道德规范，严格遵守学术研究和学术活动的基本规范，认真执行学术刊物引文规范，严禁弄虚作假。对于学术不端行为采取零容忍的态度，防范机制与处罚制度健全。研究生的学位论文在进行送审前均进行了相似性检测。本学位点研究生能够严格恪守学术道德规范，学风建设制度健全，学术风气浓厚。</w:t>
      </w:r>
    </w:p>
    <w:p w14:paraId="2D305D9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5" w:name="_Toc27935"/>
      <w:r>
        <w:rPr>
          <w:rFonts w:hint="default" w:ascii="Times New Roman" w:hAnsi="Times New Roman" w:eastAsia="SimHei" w:cs="Times New Roman"/>
          <w:b w:val="0"/>
          <w:bCs w:val="0"/>
          <w:i w:val="0"/>
          <w:iCs w:val="0"/>
          <w:color w:val="auto"/>
          <w:kern w:val="2"/>
          <w:sz w:val="28"/>
          <w:szCs w:val="28"/>
          <w:lang w:val="en-US" w:eastAsia="zh-CN" w:bidi="ar-SA"/>
        </w:rPr>
        <w:t>（三）教学科研支撑</w:t>
      </w:r>
      <w:bookmarkEnd w:id="15"/>
    </w:p>
    <w:p w14:paraId="5D2DA8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学方面，设有研究生教学专用多媒体教室3间。科研方面，学校图书馆和学院图书资料室满足研究生培养文献资源的必要条件。校内建设有模拟法庭，校外建设有多个实习基地。以上教学、科研资源条件有力地支撑和保证了研究生学习、科研和学术交流活动。</w:t>
      </w:r>
    </w:p>
    <w:p w14:paraId="51C5F15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6" w:name="_Toc21877"/>
      <w:r>
        <w:rPr>
          <w:rFonts w:hint="default" w:ascii="Times New Roman" w:hAnsi="Times New Roman" w:eastAsia="SimHei" w:cs="Times New Roman"/>
          <w:b w:val="0"/>
          <w:bCs w:val="0"/>
          <w:i w:val="0"/>
          <w:iCs w:val="0"/>
          <w:color w:val="auto"/>
          <w:kern w:val="2"/>
          <w:sz w:val="28"/>
          <w:szCs w:val="28"/>
          <w:lang w:val="en-US" w:eastAsia="zh-CN" w:bidi="ar-SA"/>
        </w:rPr>
        <w:t>（四）奖助体系</w:t>
      </w:r>
      <w:bookmarkEnd w:id="16"/>
    </w:p>
    <w:p w14:paraId="11405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本学位点研究生奖助体系健全，奖助水准高，覆盖面超过80%。学校制定了全面的研究生奖助体系，设有研究生学业奖学金，奖学金覆盖率为</w:t>
      </w:r>
      <w:r>
        <w:rPr>
          <w:rFonts w:hint="default" w:ascii="Times New Roman" w:hAnsi="Times New Roman" w:cs="Times New Roman"/>
          <w:i w:val="0"/>
          <w:iCs w:val="0"/>
          <w:color w:val="auto"/>
          <w:kern w:val="2"/>
          <w:sz w:val="24"/>
          <w:szCs w:val="24"/>
          <w:lang w:val="en-US" w:eastAsia="zh-CN" w:bidi="ar-SA"/>
        </w:rPr>
        <w:t>9</w:t>
      </w:r>
      <w:r>
        <w:rPr>
          <w:rFonts w:hint="default" w:ascii="Times New Roman" w:hAnsi="Times New Roman" w:eastAsia="SimSun" w:cs="Times New Roman"/>
          <w:i w:val="0"/>
          <w:iCs w:val="0"/>
          <w:color w:val="auto"/>
          <w:kern w:val="2"/>
          <w:sz w:val="24"/>
          <w:szCs w:val="24"/>
          <w:lang w:val="en-US" w:eastAsia="zh-CN" w:bidi="ar-SA"/>
        </w:rPr>
        <w:t>5%；研究生助学金，覆盖率100%；研究生国家奖学金，覆盖率为</w:t>
      </w:r>
      <w:r>
        <w:rPr>
          <w:rFonts w:hint="default" w:ascii="Times New Roman" w:hAnsi="Times New Roman" w:cs="Times New Roman"/>
          <w:i w:val="0"/>
          <w:iCs w:val="0"/>
          <w:color w:val="auto"/>
          <w:kern w:val="2"/>
          <w:sz w:val="24"/>
          <w:szCs w:val="24"/>
          <w:lang w:val="en-US" w:eastAsia="zh-CN" w:bidi="ar-SA"/>
        </w:rPr>
        <w:t>5</w:t>
      </w:r>
      <w:r>
        <w:rPr>
          <w:rFonts w:hint="default" w:ascii="Times New Roman" w:hAnsi="Times New Roman" w:eastAsia="SimSun" w:cs="Times New Roman"/>
          <w:i w:val="0"/>
          <w:iCs w:val="0"/>
          <w:color w:val="auto"/>
          <w:kern w:val="2"/>
          <w:sz w:val="24"/>
          <w:szCs w:val="24"/>
          <w:lang w:val="en-US" w:eastAsia="zh-CN" w:bidi="ar-SA"/>
        </w:rPr>
        <w:t>%。此外，导师每年给每位研究生均提供不少于1000元的助研津贴；学院设立两个助管岗位，每生每年有6000元的助管津贴。</w:t>
      </w:r>
    </w:p>
    <w:p w14:paraId="670E5DD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7" w:name="_Toc22125"/>
      <w:r>
        <w:rPr>
          <w:rFonts w:hint="default" w:ascii="Times New Roman" w:hAnsi="Times New Roman" w:eastAsia="SimHei" w:cs="Times New Roman"/>
          <w:b w:val="0"/>
          <w:bCs w:val="0"/>
          <w:i w:val="0"/>
          <w:iCs w:val="0"/>
          <w:color w:val="auto"/>
          <w:kern w:val="2"/>
          <w:sz w:val="28"/>
          <w:szCs w:val="28"/>
          <w:lang w:val="en-US" w:eastAsia="zh-CN" w:bidi="ar-SA"/>
        </w:rPr>
        <w:t>（五）权益保障</w:t>
      </w:r>
      <w:bookmarkEnd w:id="17"/>
    </w:p>
    <w:p w14:paraId="7F3EFC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在研究生培养过程中，主要通过电话、电子邮件、QQ群、微信、调查问卷等形式，及时收集学生对培养工作的意见。同时，适时召开学生座谈会，听取学生对教师授课情况和教学管理的意见。研究生对培养工作总体满意度≥95%。</w:t>
      </w:r>
    </w:p>
    <w:p w14:paraId="61863FD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8" w:name="_Toc22214"/>
      <w:r>
        <w:rPr>
          <w:rFonts w:hint="default" w:ascii="Times New Roman" w:hAnsi="Times New Roman" w:eastAsia="SimHei" w:cs="Times New Roman"/>
          <w:b w:val="0"/>
          <w:bCs w:val="0"/>
          <w:i w:val="0"/>
          <w:iCs w:val="0"/>
          <w:color w:val="auto"/>
          <w:kern w:val="2"/>
          <w:sz w:val="28"/>
          <w:szCs w:val="28"/>
          <w:lang w:val="en-US" w:eastAsia="zh-CN" w:bidi="ar-SA"/>
        </w:rPr>
        <w:t>（六）经费保障</w:t>
      </w:r>
      <w:bookmarkEnd w:id="18"/>
    </w:p>
    <w:p w14:paraId="34266D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建设经费保障有力。其经费来源为法学学科建设经费、研究生培养管理经费和导师的相关纵横向课题经费的投入。经费主要用于专业调研、购买图书资料、短期培训与进修、参加学术会议、课程建设、发表论文等，经费到账及时，且足额到位。经费使用采取项目负责人审批制度，专款专用，经费管理与保障制度健全。</w:t>
      </w:r>
    </w:p>
    <w:p w14:paraId="3C4180A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9" w:name="_Toc30826"/>
      <w:r>
        <w:rPr>
          <w:rFonts w:hint="default" w:ascii="Times New Roman" w:hAnsi="Times New Roman" w:eastAsia="SimHei" w:cs="Times New Roman"/>
          <w:b w:val="0"/>
          <w:bCs w:val="0"/>
          <w:i w:val="0"/>
          <w:iCs w:val="0"/>
          <w:color w:val="auto"/>
          <w:kern w:val="2"/>
          <w:sz w:val="28"/>
          <w:szCs w:val="28"/>
          <w:lang w:val="en-US" w:eastAsia="zh-CN" w:bidi="ar-SA"/>
        </w:rPr>
        <w:t>（七）教学档案</w:t>
      </w:r>
      <w:bookmarkEnd w:id="19"/>
    </w:p>
    <w:p w14:paraId="2E94C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kern w:val="2"/>
          <w:sz w:val="24"/>
          <w:szCs w:val="24"/>
          <w:lang w:val="en-US" w:eastAsia="zh-CN" w:bidi="ar-SA"/>
        </w:rPr>
      </w:pPr>
      <w:r>
        <w:rPr>
          <w:rFonts w:hint="default" w:ascii="Times New Roman" w:hAnsi="Times New Roman" w:eastAsia="SimSun" w:cs="Times New Roman"/>
          <w:i w:val="0"/>
          <w:iCs w:val="0"/>
          <w:kern w:val="2"/>
          <w:sz w:val="24"/>
          <w:szCs w:val="24"/>
          <w:lang w:val="en-US" w:eastAsia="zh-CN" w:bidi="ar-SA"/>
        </w:rPr>
        <w:t>教学档案完整、真实，教学文件齐全。教学档案设有专人保管，固定存放于档案室保管。</w:t>
      </w:r>
    </w:p>
    <w:p w14:paraId="4140BE9A">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kern w:val="2"/>
          <w:sz w:val="30"/>
          <w:szCs w:val="30"/>
          <w:lang w:val="en-US" w:eastAsia="zh-CN" w:bidi="ar-SA"/>
        </w:rPr>
      </w:pPr>
      <w:bookmarkStart w:id="20" w:name="_Toc26147"/>
      <w:r>
        <w:rPr>
          <w:rFonts w:hint="default" w:ascii="Times New Roman" w:hAnsi="Times New Roman" w:eastAsia="SimHei" w:cs="Times New Roman"/>
          <w:b w:val="0"/>
          <w:bCs/>
          <w:kern w:val="2"/>
          <w:sz w:val="30"/>
          <w:szCs w:val="30"/>
          <w:lang w:val="en-US" w:eastAsia="zh-CN" w:bidi="ar-SA"/>
        </w:rPr>
        <w:t>四、学位点和学科建设存在的差距与不足、挑战与机遇</w:t>
      </w:r>
      <w:bookmarkEnd w:id="20"/>
    </w:p>
    <w:p w14:paraId="0176A56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bookmarkStart w:id="21" w:name="_Toc13566"/>
      <w:r>
        <w:rPr>
          <w:rFonts w:hint="default" w:ascii="Times New Roman" w:hAnsi="Times New Roman" w:eastAsia="SimHei" w:cs="Times New Roman"/>
          <w:b w:val="0"/>
          <w:bCs w:val="0"/>
          <w:i w:val="0"/>
          <w:iCs w:val="0"/>
          <w:kern w:val="2"/>
          <w:sz w:val="28"/>
          <w:szCs w:val="28"/>
          <w:lang w:val="en-US" w:eastAsia="zh-CN" w:bidi="ar-SA"/>
        </w:rPr>
        <w:t>（一）学科建设存在的差距与不足</w:t>
      </w:r>
      <w:bookmarkEnd w:id="21"/>
    </w:p>
    <w:p w14:paraId="390877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学科特色有待进一步凝聚。进一步凝聚学科特色，形成独具特色的人才培养模式，并将形成的特色真正融入研究生教学与科研中。在优化课程、配备师资力量、更新教学内容方面加大投入。目前不少科研成果与学科特色的内在契合度不够高。在处理好学科性质和研究特色的关系上，学科交叉融合不够，缺乏整合优势，学科内涵建设需进一步拓展。</w:t>
      </w:r>
    </w:p>
    <w:p w14:paraId="731799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学科队伍有待进一步优化。“十四五”期间，现有师资中不少教授到了退休年龄，学科队伍断层问题凸显，学科方向带头人培养和引进工作迫在眉睫。具有博士学位的骨干教师和45岁以下青年教师占比过低。部分教师主动参与学科建设和从事科研的积极性不高。学科建设组织化程度低，学科团队建设有待加强。部分学科方向带头人学术影响力有待加强。</w:t>
      </w:r>
    </w:p>
    <w:p w14:paraId="45E308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科研成果有待进一步充实。教育部高等学校人文社会科学研究优秀成果奖等有待突破。省级科研平台还没有突破。部分专职教师放弃了职称晋升和科学研究，从事科研的积极性不高，从事学科科研的教师人数占比不大，高水平论文数量还需持续稳定增加。</w:t>
      </w:r>
    </w:p>
    <w:p w14:paraId="673F56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人才培养质量有待进一步提升。对标国家研究生评价政策，研究生教学、科研与实践平台建设有待进一步加强。省级研究生示范课程、优秀教材、省级以上优秀案例还有待突破。生源规模较小和质量不高，省级优秀硕士毕业论文数量偏少，校外实践教学基地建设和校外导师的参与度等都有待加强。</w:t>
      </w:r>
    </w:p>
    <w:p w14:paraId="6A89911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2" w:name="_Toc4232"/>
      <w:r>
        <w:rPr>
          <w:rFonts w:hint="default" w:ascii="Times New Roman" w:hAnsi="Times New Roman" w:eastAsia="SimHei" w:cs="Times New Roman"/>
          <w:b w:val="0"/>
          <w:bCs w:val="0"/>
          <w:i w:val="0"/>
          <w:iCs w:val="0"/>
          <w:color w:val="auto"/>
          <w:kern w:val="2"/>
          <w:sz w:val="28"/>
          <w:szCs w:val="28"/>
          <w:lang w:val="en-US" w:eastAsia="zh-CN" w:bidi="ar-SA"/>
        </w:rPr>
        <w:t>（二）学科建设面临的挑战与机遇</w:t>
      </w:r>
      <w:bookmarkEnd w:id="22"/>
    </w:p>
    <w:p w14:paraId="5A6014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国家和区域重大发展战略亟需高层次法律人才。国家加快推进法治中国建设和湖南省实施“三高四新”战略，对法学类人才培养提出了更高要求，如何主动服务国家和区域经济社会发展战略需求找准学科定位，既是机遇，也是挑战。</w:t>
      </w:r>
    </w:p>
    <w:p w14:paraId="393C56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2.“新文科”建设要求法学学科更深度交叉融合。“新文科”建设需要适应新时代</w:t>
      </w:r>
      <w:r>
        <w:rPr>
          <w:rFonts w:hint="default" w:ascii="Times New Roman" w:hAnsi="Times New Roman" w:eastAsia="SimSun" w:cs="Times New Roman"/>
          <w:i w:val="0"/>
          <w:iCs w:val="0"/>
          <w:color w:val="auto"/>
          <w:kern w:val="2"/>
          <w:sz w:val="24"/>
          <w:szCs w:val="24"/>
          <w:lang w:val="en-US" w:eastAsia="zh-CN" w:bidi="ar-SA"/>
        </w:rPr>
        <w:fldChar w:fldCharType="begin"/>
      </w:r>
      <w:r>
        <w:rPr>
          <w:rFonts w:hint="default" w:ascii="Times New Roman" w:hAnsi="Times New Roman" w:eastAsia="SimSun" w:cs="Times New Roman"/>
          <w:i w:val="0"/>
          <w:iCs w:val="0"/>
          <w:color w:val="auto"/>
          <w:kern w:val="2"/>
          <w:sz w:val="24"/>
          <w:szCs w:val="24"/>
          <w:lang w:val="en-US" w:eastAsia="zh-CN" w:bidi="ar-SA"/>
        </w:rPr>
        <w:instrText xml:space="preserve"> HYPERLINK "https://baike.baidu.com/item/%E5%93%B2%E5%AD%A6%E7%A4%BE%E4%BC%9A%E7%A7%91%E5%AD%A6/8003506?fromModule=lemma_inlink" \t "https://baike.baidu.com/item/%E6%96%B0%E6%96%87%E7%A7%91%E5%BB%BA%E8%AE%BE/_blank" </w:instrText>
      </w:r>
      <w:r>
        <w:rPr>
          <w:rFonts w:hint="default" w:ascii="Times New Roman" w:hAnsi="Times New Roman" w:eastAsia="SimSun" w:cs="Times New Roman"/>
          <w:i w:val="0"/>
          <w:iCs w:val="0"/>
          <w:color w:val="auto"/>
          <w:kern w:val="2"/>
          <w:sz w:val="24"/>
          <w:szCs w:val="24"/>
          <w:lang w:val="en-US" w:eastAsia="zh-CN" w:bidi="ar-SA"/>
        </w:rPr>
        <w:fldChar w:fldCharType="separate"/>
      </w:r>
      <w:r>
        <w:rPr>
          <w:rFonts w:hint="default" w:ascii="Times New Roman" w:hAnsi="Times New Roman" w:eastAsia="SimSun" w:cs="Times New Roman"/>
          <w:i w:val="0"/>
          <w:iCs w:val="0"/>
          <w:color w:val="auto"/>
          <w:kern w:val="2"/>
          <w:sz w:val="24"/>
          <w:szCs w:val="24"/>
          <w:lang w:val="en-US" w:eastAsia="zh-CN" w:bidi="ar-SA"/>
        </w:rPr>
        <w:t>哲学社会科学</w:t>
      </w:r>
      <w:r>
        <w:rPr>
          <w:rFonts w:hint="default" w:ascii="Times New Roman" w:hAnsi="Times New Roman" w:eastAsia="SimSun" w:cs="Times New Roman"/>
          <w:i w:val="0"/>
          <w:iCs w:val="0"/>
          <w:color w:val="auto"/>
          <w:kern w:val="2"/>
          <w:sz w:val="24"/>
          <w:szCs w:val="24"/>
          <w:lang w:val="en-US" w:eastAsia="zh-CN" w:bidi="ar-SA"/>
        </w:rPr>
        <w:fldChar w:fldCharType="end"/>
      </w:r>
      <w:r>
        <w:rPr>
          <w:rFonts w:hint="default" w:ascii="Times New Roman" w:hAnsi="Times New Roman" w:eastAsia="SimSun" w:cs="Times New Roman"/>
          <w:i w:val="0"/>
          <w:iCs w:val="0"/>
          <w:color w:val="auto"/>
          <w:kern w:val="2"/>
          <w:sz w:val="24"/>
          <w:szCs w:val="24"/>
          <w:lang w:val="en-US" w:eastAsia="zh-CN" w:bidi="ar-SA"/>
        </w:rPr>
        <w:t>发展的新要求，推进哲学社会科学与新一轮科技革命和产业变革交叉融合，为法学学科发展指明了新方向。</w:t>
      </w:r>
    </w:p>
    <w:p w14:paraId="78E355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乡村振兴和“双碳”目标契合我校生态法学特色。乡村振兴战略和“双碳”目标为我校法学学科彰显特色和优势提供了机遇。乡村振兴迫切需要高层次的乡村法治治理人才。实现“双碳”目标，大力推进生态文明建设，建设美丽中国，离不开坚实的生态法治人才支撑。</w:t>
      </w:r>
    </w:p>
    <w:p w14:paraId="467C067A">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23" w:name="_Toc13572"/>
      <w:r>
        <w:rPr>
          <w:rFonts w:hint="default" w:ascii="Times New Roman" w:hAnsi="Times New Roman" w:eastAsia="SimHei" w:cs="Times New Roman"/>
          <w:b w:val="0"/>
          <w:bCs/>
          <w:color w:val="auto"/>
          <w:kern w:val="2"/>
          <w:sz w:val="30"/>
          <w:szCs w:val="30"/>
          <w:lang w:val="en-US" w:eastAsia="zh-CN" w:bidi="ar-SA"/>
        </w:rPr>
        <w:t>五、学位点及学科建设目标与任务</w:t>
      </w:r>
      <w:bookmarkEnd w:id="23"/>
    </w:p>
    <w:p w14:paraId="348B24A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4" w:name="_Toc13303"/>
      <w:r>
        <w:rPr>
          <w:rFonts w:hint="default" w:ascii="Times New Roman" w:hAnsi="Times New Roman" w:eastAsia="SimHei" w:cs="Times New Roman"/>
          <w:b w:val="0"/>
          <w:bCs w:val="0"/>
          <w:i w:val="0"/>
          <w:iCs w:val="0"/>
          <w:color w:val="auto"/>
          <w:kern w:val="2"/>
          <w:sz w:val="28"/>
          <w:szCs w:val="28"/>
          <w:lang w:val="en-US" w:eastAsia="zh-CN" w:bidi="ar-SA"/>
        </w:rPr>
        <w:t>（一）总体目标</w:t>
      </w:r>
      <w:bookmarkEnd w:id="24"/>
    </w:p>
    <w:p w14:paraId="6FDC9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以习近平新时代中国特色社会主义思想为指导，以法学硕士学位点建设为核心，以服务于生态文明、法治中国为特色，以构建高水平科研平台和学科队伍为载体，将我校法学学科建设成为国家一流学科，打造成湖南省以及中南地区生态法治人才培养高地。</w:t>
      </w:r>
    </w:p>
    <w:p w14:paraId="72167F6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5" w:name="_Toc31963"/>
      <w:r>
        <w:rPr>
          <w:rFonts w:hint="default" w:ascii="Times New Roman" w:hAnsi="Times New Roman" w:eastAsia="SimHei" w:cs="Times New Roman"/>
          <w:b w:val="0"/>
          <w:bCs w:val="0"/>
          <w:i w:val="0"/>
          <w:iCs w:val="0"/>
          <w:color w:val="auto"/>
          <w:kern w:val="2"/>
          <w:sz w:val="28"/>
          <w:szCs w:val="28"/>
          <w:lang w:val="en-US" w:eastAsia="zh-CN" w:bidi="ar-SA"/>
        </w:rPr>
        <w:t>（二）具体目标与任务</w:t>
      </w:r>
      <w:bookmarkEnd w:id="25"/>
    </w:p>
    <w:p w14:paraId="65A1DB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1.学科平台建设</w:t>
      </w:r>
    </w:p>
    <w:p w14:paraId="316F05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整合中南林业科技大学环境法研究所、林业法研究所，建立中南林业科技大学生态法治建设研究中心，并以此为基础积极申报湖南省哲学社会科学重点研究基地。主办或承办区域性学术会议或学科竞赛至少1次，增强学科的省内外影响力。加强院系学科整合，继续做好法学专硕点和公共管理专硕点的培育和申报，在“十四五”期间能够增设1个新的专硕学位点。</w:t>
      </w:r>
    </w:p>
    <w:p w14:paraId="2D66E7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2.师资队伍建设</w:t>
      </w:r>
    </w:p>
    <w:p w14:paraId="65717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通过外引内培，公开招聘学科方向学术带头人，集聚一批在法学</w:t>
      </w:r>
      <w:r>
        <w:rPr>
          <w:rFonts w:hint="eastAsia" w:ascii="Times New Roman" w:hAnsi="Times New Roman" w:cs="Times New Roman"/>
          <w:i w:val="0"/>
          <w:iCs w:val="0"/>
          <w:color w:val="auto"/>
          <w:kern w:val="2"/>
          <w:sz w:val="24"/>
          <w:szCs w:val="24"/>
          <w:lang w:val="en-US" w:eastAsia="zh-CN" w:bidi="ar-SA"/>
        </w:rPr>
        <w:t>领</w:t>
      </w:r>
      <w:r>
        <w:rPr>
          <w:rFonts w:hint="default" w:ascii="Times New Roman" w:hAnsi="Times New Roman" w:eastAsia="SimSun" w:cs="Times New Roman"/>
          <w:i w:val="0"/>
          <w:iCs w:val="0"/>
          <w:color w:val="auto"/>
          <w:kern w:val="2"/>
          <w:sz w:val="24"/>
          <w:szCs w:val="24"/>
          <w:lang w:val="en-US" w:eastAsia="zh-CN" w:bidi="ar-SA"/>
        </w:rPr>
        <w:t>域具有较大发展潜力的优秀青年学者。引进1-2名在省内甚至国内有一定影响的、本学科高层次的知名学者担任学科带头人或首席专家，培养1-2名高水平的学科方向学术带头人，引进法学毕业博士研究生5-10人，培养若干名高素质、优秀的中青年理论骨干和教学骨干。</w:t>
      </w:r>
    </w:p>
    <w:p w14:paraId="0C038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3.人才培养工作</w:t>
      </w:r>
    </w:p>
    <w:p w14:paraId="410955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研究生教育方面，扩大研究生招生规模，争取在“十四五”末，在校全日制研究生规模稳定在80人左右，每年招生人数逐年扩增。加大法学同等学</w:t>
      </w:r>
      <w:r>
        <w:rPr>
          <w:rFonts w:hint="eastAsia" w:ascii="Times New Roman" w:hAnsi="Times New Roman" w:cs="Times New Roman"/>
          <w:i w:val="0"/>
          <w:iCs w:val="0"/>
          <w:color w:val="auto"/>
          <w:kern w:val="2"/>
          <w:sz w:val="24"/>
          <w:szCs w:val="24"/>
          <w:lang w:val="en-US" w:eastAsia="zh-CN" w:bidi="ar-SA"/>
        </w:rPr>
        <w:t>力</w:t>
      </w:r>
      <w:r>
        <w:rPr>
          <w:rFonts w:hint="default" w:ascii="Times New Roman" w:hAnsi="Times New Roman" w:eastAsia="SimSun" w:cs="Times New Roman"/>
          <w:i w:val="0"/>
          <w:iCs w:val="0"/>
          <w:color w:val="auto"/>
          <w:kern w:val="2"/>
          <w:sz w:val="24"/>
          <w:szCs w:val="24"/>
          <w:lang w:val="en-US" w:eastAsia="zh-CN" w:bidi="ar-SA"/>
        </w:rPr>
        <w:t>的招生力度。在创新研究生培养模式方面，不断完善全日制学术型法学硕士人才培养方案。申报教育部产学研合作协同育人项目，发挥实践育人作用。加强研究生课程与教材建设，出版研究生教材1-2部。加强课程思政示范课程建设，建设校级示范课程2-3门，省级示范课程1-2门。争取创建1-2个省级研究生实习基地，确保暑假三下乡调研常态化制度化。</w:t>
      </w:r>
    </w:p>
    <w:p w14:paraId="501DE2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4.教学科研工作</w:t>
      </w:r>
    </w:p>
    <w:p w14:paraId="2E2CF2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以课题为抓手，带动科研发展。横向项目继续保持原有的优势，纵向项目重点在国家社会科学基金项目、教育部社科基金项目数量上有新的突破。新增省部级以上课题10项以上；获得省级奖励1项；发表高质量学术论文，争取在法学顶级期刊上有新的突破；出版专著至少2部。鼓励学术骨干积极参加全国性学术研讨会不少于10人次。申报国家级和省部级以上科研项目、申报省部级以上科研成果奖（含教学成果奖）。</w:t>
      </w:r>
    </w:p>
    <w:p w14:paraId="711A0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5.标</w:t>
      </w:r>
      <w:r>
        <w:rPr>
          <w:rFonts w:hint="eastAsia" w:ascii="Times New Roman" w:hAnsi="Times New Roman" w:cs="Times New Roman"/>
          <w:i w:val="0"/>
          <w:iCs w:val="0"/>
          <w:color w:val="auto"/>
          <w:kern w:val="2"/>
          <w:sz w:val="24"/>
          <w:szCs w:val="24"/>
          <w:lang w:val="en-US" w:eastAsia="zh-CN" w:bidi="ar-SA"/>
        </w:rPr>
        <w:t>志</w:t>
      </w:r>
      <w:r>
        <w:rPr>
          <w:rFonts w:hint="default" w:ascii="Times New Roman" w:hAnsi="Times New Roman" w:eastAsia="SimSun" w:cs="Times New Roman"/>
          <w:i w:val="0"/>
          <w:iCs w:val="0"/>
          <w:color w:val="auto"/>
          <w:kern w:val="2"/>
          <w:sz w:val="24"/>
          <w:szCs w:val="24"/>
          <w:lang w:val="en-US" w:eastAsia="zh-CN" w:bidi="ar-SA"/>
        </w:rPr>
        <w:t>性成果的具体指标任务</w:t>
      </w:r>
    </w:p>
    <w:p w14:paraId="1E3004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（1）立项国家科研项目3-4项，立项研究生教研教改项目4-6项；</w:t>
      </w:r>
    </w:p>
    <w:p w14:paraId="46F72E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（2）发表CSSCI论文至少20篇；出版学术专著3部以上，出版研究生教材1-2部；</w:t>
      </w:r>
    </w:p>
    <w:p w14:paraId="5CE7DE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（3）获得省级以上社会科学成果奖2-3项；</w:t>
      </w:r>
    </w:p>
    <w:p w14:paraId="0B66A4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（4）培育省级研究生硕士论文1-2篇；</w:t>
      </w:r>
    </w:p>
    <w:p w14:paraId="40A79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（5）省级研究生科技创新项目立项至少5项；</w:t>
      </w:r>
    </w:p>
    <w:p w14:paraId="02135D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（6）鼓励研究生参加学科竞赛，力争在省级以上大赛中获奖10项以上；鼓励研究生撰写论文参加省级以上学术年会并力争获奖10项以上；鼓励学生发表高质量论文30篇以上；</w:t>
      </w:r>
    </w:p>
    <w:p w14:paraId="67BCE3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（7）拓宽研究生国际交流渠道，鼓励5名以上学生出国留学；</w:t>
      </w:r>
    </w:p>
    <w:p w14:paraId="670581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（8）鼓励研究生毕业攻读博士学位，为学生攻读博士学位创造条件，考取博士2-3人；</w:t>
      </w:r>
    </w:p>
    <w:p w14:paraId="5547A9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（9）申报教育部产学研合作协同育人项目1项以上；争创1-2个省级研究生实习基地；</w:t>
      </w:r>
    </w:p>
    <w:p w14:paraId="4E80CA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rPr>
      </w:pPr>
      <w:r>
        <w:rPr>
          <w:rFonts w:hint="default" w:ascii="Times New Roman" w:hAnsi="Times New Roman" w:eastAsia="SimSun" w:cs="Times New Roman"/>
          <w:i w:val="0"/>
          <w:iCs w:val="0"/>
          <w:color w:val="auto"/>
          <w:kern w:val="2"/>
          <w:sz w:val="24"/>
          <w:szCs w:val="24"/>
          <w:lang w:val="en-US" w:eastAsia="zh-CN" w:bidi="ar-SA"/>
        </w:rPr>
        <w:t>（10）积极申报研究生教学成果奖2项以上。</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STFangsong">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BE88">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D768">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0C7C">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7B20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67B2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540F6"/>
    <w:multiLevelType w:val="singleLevel"/>
    <w:tmpl w:val="A96540F6"/>
    <w:lvl w:ilvl="0" w:tentative="0">
      <w:start w:val="1"/>
      <w:numFmt w:val="decimal"/>
      <w:suff w:val="nothing"/>
      <w:lvlText w:val="（%1）"/>
      <w:lvlJc w:val="left"/>
    </w:lvl>
  </w:abstractNum>
  <w:abstractNum w:abstractNumId="1">
    <w:nsid w:val="2D9BE7A7"/>
    <w:multiLevelType w:val="singleLevel"/>
    <w:tmpl w:val="2D9BE7A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67A86"/>
    <w:rsid w:val="040E6372"/>
    <w:rsid w:val="05A1702D"/>
    <w:rsid w:val="07AC511C"/>
    <w:rsid w:val="0C564D28"/>
    <w:rsid w:val="0E7B0B34"/>
    <w:rsid w:val="10CE114B"/>
    <w:rsid w:val="25665B84"/>
    <w:rsid w:val="28177609"/>
    <w:rsid w:val="296F6FD1"/>
    <w:rsid w:val="2E877ABD"/>
    <w:rsid w:val="347D6A46"/>
    <w:rsid w:val="44DE5C1D"/>
    <w:rsid w:val="45D03A9B"/>
    <w:rsid w:val="47176886"/>
    <w:rsid w:val="4BB46D99"/>
    <w:rsid w:val="4D505445"/>
    <w:rsid w:val="590F4458"/>
    <w:rsid w:val="5ADD173D"/>
    <w:rsid w:val="5E9D36BD"/>
    <w:rsid w:val="662224EC"/>
    <w:rsid w:val="6DE54739"/>
    <w:rsid w:val="780600B5"/>
    <w:rsid w:val="7B263453"/>
    <w:rsid w:val="7E7A4815"/>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sz w:val="21"/>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5892</Words>
  <Characters>6248</Characters>
  <Lines>0</Lines>
  <Paragraphs>0</Paragraphs>
  <TotalTime>0</TotalTime>
  <ScaleCrop>false</ScaleCrop>
  <LinksUpToDate>false</LinksUpToDate>
  <CharactersWithSpaces>6301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2025-03-30T01:29:00Z</dcterms:created>
  <dc:creator>MI</dc:creator>
  <cp:lastModifiedBy>Neil</cp:lastModifiedBy>
  <dcterms:modified xsi:type="dcterms:W3CDTF">2025-03-31T07:54:17Z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eyJoZGlkIjoiNDY1OGE1ODhlY2I5MDFmZjY3ZmRkNzdjYWJiZjk5M2IiLCJ1c2VySWQiOiIxMDA1MzcxMDc4In0=</vt:lpwstr>
  </property>
  <property fmtid="{D5CDD505-2E9C-101B-9397-08002B2CF9AE}" pid="4" name="ICV">
    <vt:lpwstr>26F218323EA04EE59CA399A1FAE14255_12</vt:lpwstr>
  </property>
</Properties>
</file>